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HISTORIC PRESERVATION TAX CREDIT</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18"/>
        </w:rPr>
        <w:t>FOR PROJECTS REGISTERED ON OR AFTER AUGUST 15, 2016</w:t>
      </w:r>
    </w:p>
    <w:p>
      <w:pPr>
        <w:spacing w:before="0" w:after="0"/>
        <w:ind w:left="120"/>
        <w:jc w:val="both"/>
      </w:pPr>
      <w:r>
        <w:rPr>
          <w:rFonts w:ascii="Times New Roman" w:hAnsi="Times New Roman"/>
          <w:b/>
          <w:i w:val="false"/>
          <w:color w:val="000000"/>
          <w:sz w:val="22"/>
        </w:rPr>
        <w:t>261—49.1</w:t>
      </w:r>
      <w:r>
        <w:rPr>
          <w:rFonts w:ascii="Times New Roman" w:hAnsi="Times New Roman"/>
          <w:b/>
          <w:i w:val="false"/>
          <w:color w:val="000000"/>
          <w:sz w:val="22"/>
        </w:rPr>
        <w:t xml:space="preserve">(303,404A)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chapters </w:t>
      </w:r>
      <w:hyperlink r:id="rId5">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historic preservation tax credit program is administered by the authority with the assistance of the department of cultural affairs and the department of revenue. This chapter sets forth the administration of the program by the authority. The administrative rules for the department of cultural affairs’ administration of the program can be found in </w:t>
      </w:r>
      <w:hyperlink r:id="rId7">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xml:space="preserve">. The administrative rules for the department of revenue’s administration of the program may be found in rules </w:t>
      </w:r>
      <w:hyperlink r:id="rId8">
        <w:r>
          <w:rPr>
            <w:rStyle w:val="Hyperlink"/>
            <w:rFonts w:ascii="Times New Roman" w:hAnsi="Times New Roman"/>
            <w:b w:val="false"/>
            <w:i w:val="false"/>
            <w:color w:val="000000"/>
            <w:sz w:val="22"/>
          </w:rPr>
          <w:t>701—304.19</w:t>
        </w:r>
      </w:hyperlink>
      <w:r>
        <w:rPr>
          <w:rFonts w:ascii="Times New Roman" w:hAnsi="Times New Roman"/>
          <w:b w:val="false"/>
          <w:i w:val="false"/>
          <w:color w:val="000000"/>
          <w:sz w:val="22"/>
        </w:rPr>
        <w:t xml:space="preserve">(404A,422), </w:t>
      </w:r>
      <w:hyperlink r:id="rId9">
        <w:r>
          <w:rPr>
            <w:rStyle w:val="Hyperlink"/>
            <w:rFonts w:ascii="Times New Roman" w:hAnsi="Times New Roman"/>
            <w:b w:val="false"/>
            <w:i w:val="false"/>
            <w:color w:val="000000"/>
            <w:sz w:val="22"/>
          </w:rPr>
          <w:t>701—304.55</w:t>
        </w:r>
      </w:hyperlink>
      <w:r>
        <w:rPr>
          <w:rFonts w:ascii="Times New Roman" w:hAnsi="Times New Roman"/>
          <w:b w:val="false"/>
          <w:i w:val="false"/>
          <w:color w:val="000000"/>
          <w:sz w:val="22"/>
        </w:rPr>
        <w:t xml:space="preserve">(404A,422), </w:t>
      </w:r>
      <w:hyperlink r:id="rId10">
        <w:r>
          <w:rPr>
            <w:rStyle w:val="Hyperlink"/>
            <w:rFonts w:ascii="Times New Roman" w:hAnsi="Times New Roman"/>
            <w:b w:val="false"/>
            <w:i w:val="false"/>
            <w:color w:val="000000"/>
            <w:sz w:val="22"/>
          </w:rPr>
          <w:t>701—501.48</w:t>
        </w:r>
      </w:hyperlink>
      <w:r>
        <w:rPr>
          <w:rFonts w:ascii="Times New Roman" w:hAnsi="Times New Roman"/>
          <w:b w:val="false"/>
          <w:i w:val="false"/>
          <w:color w:val="000000"/>
          <w:sz w:val="22"/>
        </w:rPr>
        <w:t xml:space="preserve">(404A,422), and </w:t>
      </w:r>
      <w:hyperlink r:id="rId11">
        <w:r>
          <w:rPr>
            <w:rStyle w:val="Hyperlink"/>
            <w:rFonts w:ascii="Times New Roman" w:hAnsi="Times New Roman"/>
            <w:b w:val="false"/>
            <w:i w:val="false"/>
            <w:color w:val="000000"/>
            <w:sz w:val="22"/>
          </w:rPr>
          <w:t>701—601.10</w:t>
        </w:r>
      </w:hyperlink>
      <w:r>
        <w:rPr>
          <w:rFonts w:ascii="Times New Roman" w:hAnsi="Times New Roman"/>
          <w:b w:val="false"/>
          <w:i w:val="false"/>
          <w:color w:val="000000"/>
          <w:sz w:val="22"/>
        </w:rPr>
        <w:t>(404A,422).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261—49.2</w:t>
      </w:r>
      <w:r>
        <w:rPr>
          <w:rFonts w:ascii="Times New Roman" w:hAnsi="Times New Roman"/>
          <w:b/>
          <w:i w:val="false"/>
          <w:color w:val="000000"/>
          <w:sz w:val="22"/>
        </w:rPr>
        <w:t xml:space="preserve">(404A) </w:t>
      </w:r>
      <w:r>
        <w:rPr>
          <w:rFonts w:ascii="Times New Roman" w:hAnsi="Times New Roman"/>
          <w:b/>
          <w:i w:val="false"/>
          <w:color w:val="000000"/>
          <w:sz w:val="22"/>
        </w:rPr>
        <w:t xml:space="preserve">Program transition and applicability. </w:t>
      </w:r>
      <w:r>
        <w:rPr>
          <w:rFonts w:ascii="Times New Roman" w:hAnsi="Times New Roman"/>
          <w:b w:val="false"/>
          <w:i w:val="false"/>
          <w:color w:val="000000"/>
          <w:sz w:val="22"/>
        </w:rPr>
        <w:t xml:space="preserve">For projects registered prior to August 15, 2016, the program is administered by the department of cultural affairs and the department of revenue pursuant to the statutes and rules that apply to projects registered prior to August 15, 2016. On or after August 15, 2016, the program is administered by the economic development authority in consultation with the department of cultural affairs pursuant to Iowa Code chapter </w:t>
      </w:r>
      <w:hyperlink r:id="rId1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Chapter </w:t>
      </w:r>
      <w:hyperlink r:id="rId13">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applies to projects that are registered on or after August 15, 2016.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261—49.3</w:t>
      </w:r>
      <w:r>
        <w:rPr>
          <w:rFonts w:ascii="Times New Roman" w:hAnsi="Times New Roman"/>
          <w:b/>
          <w:i w:val="false"/>
          <w:color w:val="000000"/>
          <w:sz w:val="22"/>
        </w:rPr>
        <w:t xml:space="preserve">(404A)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means an agreement between an eligible taxpayer and the authority concerning a qualified rehabilitation project as provided in Iowa Code section </w:t>
      </w:r>
      <w:hyperlink r:id="rId14">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261—49.12</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eligible taxpayer described in rule </w:t>
      </w:r>
      <w:hyperlink r:id="rId16">
        <w:r>
          <w:rPr>
            <w:rStyle w:val="Hyperlink"/>
            <w:rFonts w:ascii="Times New Roman" w:hAnsi="Times New Roman"/>
            <w:b w:val="false"/>
            <w:i w:val="false"/>
            <w:color w:val="000000"/>
            <w:sz w:val="22"/>
          </w:rPr>
          <w:t>261—49.9</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“Assessed value” </w:t>
      </w:r>
      <w:r>
        <w:rPr>
          <w:rFonts w:ascii="Times New Roman" w:hAnsi="Times New Roman"/>
          <w:b w:val="false"/>
          <w:i w:val="false"/>
          <w:color w:val="000000"/>
          <w:sz w:val="22"/>
        </w:rPr>
        <w:t>means the value of the eligible property on the most current property tax assessment at the time that the relevant application or agreement is submitted or the agreement is signed,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17">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“Barn” </w:t>
      </w:r>
      <w:r>
        <w:rPr>
          <w:rFonts w:ascii="Times New Roman" w:hAnsi="Times New Roman"/>
          <w:b w:val="false"/>
          <w:i w:val="false"/>
          <w:color w:val="000000"/>
          <w:sz w:val="22"/>
        </w:rPr>
        <w:t>means an agricultural building or structure, in whatever shape or design, which was originally used for the storage of farm products or feed or for the housing of farm animals, poultry, or farm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a historic preservation tax credit certificate issued pursuant to Iowa Code section </w:t>
      </w:r>
      <w:hyperlink r:id="rId18">
        <w:r>
          <w:rPr>
            <w:rStyle w:val="Hyperlink"/>
            <w:rFonts w:ascii="Times New Roman" w:hAnsi="Times New Roman"/>
            <w:b w:val="false"/>
            <w:i w:val="false"/>
            <w:color w:val="000000"/>
            <w:sz w:val="22"/>
          </w:rPr>
          <w:t>404A.3(5)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“Commencement date” </w:t>
      </w:r>
      <w:r>
        <w:rPr>
          <w:rFonts w:ascii="Times New Roman" w:hAnsi="Times New Roman"/>
          <w:b w:val="false"/>
          <w:i w:val="false"/>
          <w:color w:val="000000"/>
          <w:sz w:val="22"/>
        </w:rPr>
        <w:t>means the date by which the qualified rehabilitation project must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property” </w:t>
      </w:r>
      <w:r>
        <w:rPr>
          <w:rFonts w:ascii="Times New Roman" w:hAnsi="Times New Roman"/>
          <w:b w:val="false"/>
          <w:i w:val="false"/>
          <w:color w:val="000000"/>
          <w:sz w:val="22"/>
        </w:rPr>
        <w:t xml:space="preserve">means property classified as commercial, industrial, railroad, utility, or residential for property tax purposes under rules </w:t>
      </w:r>
      <w:hyperlink r:id="rId19">
        <w:r>
          <w:rPr>
            <w:rStyle w:val="Hyperlink"/>
            <w:rFonts w:ascii="Times New Roman" w:hAnsi="Times New Roman"/>
            <w:b w:val="false"/>
            <w:i w:val="false"/>
            <w:color w:val="000000"/>
            <w:sz w:val="22"/>
          </w:rPr>
          <w:t>701—102.1</w:t>
        </w:r>
      </w:hyperlink>
      <w:r>
        <w:rPr>
          <w:rFonts w:ascii="Times New Roman" w:hAnsi="Times New Roman"/>
          <w:b w:val="false"/>
          <w:i w:val="false"/>
          <w:color w:val="000000"/>
          <w:sz w:val="22"/>
        </w:rPr>
        <w:t xml:space="preserve">(405,427A,428,441,499B), </w:t>
      </w:r>
      <w:hyperlink r:id="rId20">
        <w:r>
          <w:rPr>
            <w:rStyle w:val="Hyperlink"/>
            <w:rFonts w:ascii="Times New Roman" w:hAnsi="Times New Roman"/>
            <w:b w:val="false"/>
            <w:i w:val="false"/>
            <w:color w:val="000000"/>
            <w:sz w:val="22"/>
          </w:rPr>
          <w:t>701—106.1</w:t>
        </w:r>
      </w:hyperlink>
      <w:r>
        <w:rPr>
          <w:rFonts w:ascii="Times New Roman" w:hAnsi="Times New Roman"/>
          <w:b w:val="false"/>
          <w:i w:val="false"/>
          <w:color w:val="000000"/>
          <w:sz w:val="22"/>
        </w:rPr>
        <w:t xml:space="preserve">(434), and </w:t>
      </w:r>
      <w:hyperlink r:id="rId21">
        <w:r>
          <w:rPr>
            <w:rStyle w:val="Hyperlink"/>
            <w:rFonts w:ascii="Times New Roman" w:hAnsi="Times New Roman"/>
            <w:b w:val="false"/>
            <w:i w:val="false"/>
            <w:color w:val="000000"/>
            <w:sz w:val="22"/>
          </w:rPr>
          <w:t>701—107.1</w:t>
        </w:r>
      </w:hyperlink>
      <w:r>
        <w:rPr>
          <w:rFonts w:ascii="Times New Roman" w:hAnsi="Times New Roman"/>
          <w:b w:val="false"/>
          <w:i w:val="false"/>
          <w:color w:val="000000"/>
          <w:sz w:val="22"/>
        </w:rPr>
        <w:t xml:space="preserve">(428,433,437,438). “Commercial property” does not include property classified as residential property under </w:t>
      </w:r>
      <w:hyperlink r:id="rId22">
        <w:r>
          <w:rPr>
            <w:rStyle w:val="Hyperlink"/>
            <w:rFonts w:ascii="Times New Roman" w:hAnsi="Times New Roman"/>
            <w:b w:val="false"/>
            <w:i w:val="false"/>
            <w:color w:val="000000"/>
            <w:sz w:val="22"/>
          </w:rPr>
          <w:t>701—subparagraph 102.1(4)</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“Completion date” </w:t>
      </w:r>
      <w:r>
        <w:rPr>
          <w:rFonts w:ascii="Times New Roman" w:hAnsi="Times New Roman"/>
          <w:b w:val="false"/>
          <w:i w:val="false"/>
          <w:color w:val="000000"/>
          <w:sz w:val="22"/>
        </w:rPr>
        <w:t xml:space="preserve">means the date on which property that is the subject of a qualified rehabilitation project is placed in service, as that term is used in Section </w:t>
      </w:r>
      <w:r>
        <w:rPr>
          <w:rFonts w:ascii="Times New Roman" w:hAnsi="Times New Roman"/>
          <w:b w:val="false"/>
          <w:i w:val="false"/>
          <w:color w:val="000000"/>
          <w:sz w:val="22"/>
        </w:rPr>
        <w:t>47</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taxpayer” </w:t>
      </w:r>
      <w:r>
        <w:rPr>
          <w:rFonts w:ascii="Times New Roman" w:hAnsi="Times New Roman"/>
          <w:b w:val="false"/>
          <w:i w:val="false"/>
          <w:color w:val="000000"/>
          <w:sz w:val="22"/>
        </w:rPr>
        <w:t xml:space="preserve">means the fee simple owner of the property that is the subject of a qualified rehabilitation project, or another person who will qualify for the federal rehabilitation credit allowed under Section </w:t>
      </w:r>
      <w:r>
        <w:rPr>
          <w:rFonts w:ascii="Times New Roman" w:hAnsi="Times New Roman"/>
          <w:b w:val="false"/>
          <w:i w:val="false"/>
          <w:color w:val="000000"/>
          <w:sz w:val="22"/>
        </w:rPr>
        <w:t>47</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with respect to the property that is the subject of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rehabilitation credit”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“federal credit” </w:t>
      </w:r>
      <w:r>
        <w:rPr>
          <w:rFonts w:ascii="Times New Roman" w:hAnsi="Times New Roman"/>
          <w:b w:val="false"/>
          <w:i w:val="false"/>
          <w:color w:val="000000"/>
          <w:sz w:val="22"/>
        </w:rPr>
        <w:t xml:space="preserve">means the tax credit allowed under Section </w:t>
      </w:r>
      <w:r>
        <w:rPr>
          <w:rFonts w:ascii="Times New Roman" w:hAnsi="Times New Roman"/>
          <w:b w:val="false"/>
          <w:i w:val="false"/>
          <w:color w:val="000000"/>
          <w:sz w:val="22"/>
        </w:rPr>
        <w:t>47</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standards” </w:t>
      </w:r>
      <w:r>
        <w:rPr>
          <w:rFonts w:ascii="Times New Roman" w:hAnsi="Times New Roman"/>
          <w:b w:val="false"/>
          <w:i w:val="false"/>
          <w:color w:val="000000"/>
          <w:sz w:val="22"/>
        </w:rPr>
        <w:t xml:space="preserve">means the U.S. Secretary of the Interior’s standards for rehabilitation set forth in </w:t>
      </w:r>
      <w:r>
        <w:rPr>
          <w:rFonts w:ascii="Times New Roman" w:hAnsi="Times New Roman"/>
          <w:b w:val="false"/>
          <w:i w:val="false"/>
          <w:color w:val="000000"/>
          <w:sz w:val="22"/>
        </w:rPr>
        <w:t>36 CFR Section 67.7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funding” </w:t>
      </w:r>
      <w:r>
        <w:rPr>
          <w:rFonts w:ascii="Times New Roman" w:hAnsi="Times New Roman"/>
          <w:b w:val="false"/>
          <w:i w:val="false"/>
          <w:color w:val="000000"/>
          <w:sz w:val="22"/>
        </w:rPr>
        <w:t>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funding the applicant received from a federal, state, or local government;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Funding from a third party or a series of third parties where those funds originally came from a government or were derived from a government payment, grant, loan, tax credit or rebate or other government incentive;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Funding from a third party or a series of third parties where those funds are derived from, secured by, or otherwise received in anticipation of a government payment, grant, loan, tax credit or rebate or other government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“Historically significant” </w:t>
      </w:r>
      <w:r>
        <w:rPr>
          <w:rFonts w:ascii="Times New Roman" w:hAnsi="Times New Roman"/>
          <w:b w:val="false"/>
          <w:i w:val="false"/>
          <w:color w:val="000000"/>
          <w:sz w:val="22"/>
        </w:rPr>
        <w:t>means a property that is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listed on the National Register of Historic Places or eligible for such listing.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designated as contributing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 project” </w:t>
      </w:r>
      <w:r>
        <w:rPr>
          <w:rFonts w:ascii="Times New Roman" w:hAnsi="Times New Roman"/>
          <w:b w:val="false"/>
          <w:i w:val="false"/>
          <w:color w:val="000000"/>
          <w:sz w:val="22"/>
        </w:rPr>
        <w:t>means a qualified rehabilitation project with estimated final qualified rehabilitation expenditures of more than $750,000.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Register of Historic Places” </w:t>
      </w:r>
      <w:r>
        <w:rPr>
          <w:rFonts w:ascii="Times New Roman" w:hAnsi="Times New Roman"/>
          <w:b w:val="false"/>
          <w:i w:val="false"/>
          <w:color w:val="000000"/>
          <w:sz w:val="22"/>
        </w:rPr>
        <w:t xml:space="preserve">means the same as defined in rule </w:t>
      </w:r>
      <w:hyperlink r:id="rId23">
        <w:r>
          <w:rPr>
            <w:rStyle w:val="Hyperlink"/>
            <w:rFonts w:ascii="Times New Roman" w:hAnsi="Times New Roman"/>
            <w:b w:val="false"/>
            <w:i w:val="false"/>
            <w:color w:val="000000"/>
            <w:sz w:val="22"/>
          </w:rPr>
          <w:t>223—35.2</w:t>
        </w:r>
      </w:hyperlink>
      <w:r>
        <w:rPr>
          <w:rFonts w:ascii="Times New Roman" w:hAnsi="Times New Roman"/>
          <w:b w:val="false"/>
          <w:i w:val="false"/>
          <w:color w:val="000000"/>
          <w:sz w:val="22"/>
        </w:rPr>
        <w:t>(303).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property” </w:t>
      </w:r>
      <w:r>
        <w:rPr>
          <w:rFonts w:ascii="Times New Roman" w:hAnsi="Times New Roman"/>
          <w:b w:val="false"/>
          <w:i w:val="false"/>
          <w:color w:val="000000"/>
          <w:sz w:val="22"/>
        </w:rPr>
        <w:t>means property other than “commercial property” as defined in this rule. “Noncommercial property” includes barns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organization” </w:t>
      </w:r>
      <w:r>
        <w:rPr>
          <w:rFonts w:ascii="Times New Roman" w:hAnsi="Times New Roman"/>
          <w:b w:val="false"/>
          <w:i w:val="false"/>
          <w:color w:val="000000"/>
          <w:sz w:val="22"/>
        </w:rPr>
        <w:t xml:space="preserve">means an organization described in Section </w:t>
      </w:r>
      <w:r>
        <w:rPr>
          <w:rFonts w:ascii="Times New Roman" w:hAnsi="Times New Roman"/>
          <w:b w:val="false"/>
          <w:i w:val="false"/>
          <w:color w:val="000000"/>
          <w:sz w:val="22"/>
        </w:rPr>
        <w:t>501</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unless the exemption is denied under Section </w:t>
      </w:r>
      <w:r>
        <w:rPr>
          <w:rFonts w:ascii="Times New Roman" w:hAnsi="Times New Roman"/>
          <w:b w:val="false"/>
          <w:i w:val="false"/>
          <w:color w:val="000000"/>
          <w:sz w:val="22"/>
        </w:rPr>
        <w:t>501</w:t>
      </w:r>
      <w:r>
        <w:rPr>
          <w:rFonts w:ascii="Times New Roman" w:hAnsi="Times New Roman"/>
          <w:b w:val="false"/>
          <w:i w:val="false"/>
          <w:color w:val="000000"/>
          <w:sz w:val="22"/>
        </w:rPr>
        <w:t xml:space="preserve">, </w:t>
      </w:r>
      <w:r>
        <w:rPr>
          <w:rFonts w:ascii="Times New Roman" w:hAnsi="Times New Roman"/>
          <w:b w:val="false"/>
          <w:i w:val="false"/>
          <w:color w:val="000000"/>
          <w:sz w:val="22"/>
        </w:rPr>
        <w:t>502</w:t>
      </w:r>
      <w:r>
        <w:rPr>
          <w:rFonts w:ascii="Times New Roman" w:hAnsi="Times New Roman"/>
          <w:b w:val="false"/>
          <w:i w:val="false"/>
          <w:color w:val="000000"/>
          <w:sz w:val="22"/>
        </w:rPr>
        <w:t xml:space="preserve">, </w:t>
      </w:r>
      <w:r>
        <w:rPr>
          <w:rFonts w:ascii="Times New Roman" w:hAnsi="Times New Roman"/>
          <w:b w:val="false"/>
          <w:i w:val="false"/>
          <w:color w:val="000000"/>
          <w:sz w:val="22"/>
        </w:rPr>
        <w:t>503</w:t>
      </w:r>
      <w:r>
        <w:rPr>
          <w:rFonts w:ascii="Times New Roman" w:hAnsi="Times New Roman"/>
          <w:b w:val="false"/>
          <w:i w:val="false"/>
          <w:color w:val="000000"/>
          <w:sz w:val="22"/>
        </w:rPr>
        <w:t xml:space="preserve">, or </w:t>
      </w:r>
      <w:r>
        <w:rPr>
          <w:rFonts w:ascii="Times New Roman" w:hAnsi="Times New Roman"/>
          <w:b w:val="false"/>
          <w:i w:val="false"/>
          <w:color w:val="000000"/>
          <w:sz w:val="22"/>
        </w:rPr>
        <w:t>504</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“Nonprofit organization” does not include a governmental body, as that term is defined in Iowa Code section </w:t>
      </w:r>
      <w:hyperlink r:id="rId24">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1 application” </w:t>
      </w:r>
      <w:r>
        <w:rPr>
          <w:rFonts w:ascii="Times New Roman" w:hAnsi="Times New Roman"/>
          <w:b w:val="false"/>
          <w:i w:val="false"/>
          <w:color w:val="000000"/>
          <w:sz w:val="22"/>
        </w:rPr>
        <w:t>means an application submitted to SHPO to determine whether a property is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2 application” </w:t>
      </w:r>
      <w:r>
        <w:rPr>
          <w:rFonts w:ascii="Times New Roman" w:hAnsi="Times New Roman"/>
          <w:b w:val="false"/>
          <w:i w:val="false"/>
          <w:color w:val="000000"/>
          <w:sz w:val="22"/>
        </w:rPr>
        <w:t>means an application submitted to SHPO to determine whether the proposed rehabilitation work meets the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2B application” </w:t>
      </w:r>
      <w:r>
        <w:rPr>
          <w:rFonts w:ascii="Times New Roman" w:hAnsi="Times New Roman"/>
          <w:b w:val="false"/>
          <w:i w:val="false"/>
          <w:color w:val="000000"/>
          <w:sz w:val="22"/>
        </w:rPr>
        <w:t>means an application submitted to the authority, after a Part 2 application has been approved by SHPO but before a Part 3 application is submitted, to determine whether a project should be registered for a tentative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 3 application” </w:t>
      </w:r>
      <w:r>
        <w:rPr>
          <w:rFonts w:ascii="Times New Roman" w:hAnsi="Times New Roman"/>
          <w:b w:val="false"/>
          <w:i w:val="false"/>
          <w:color w:val="000000"/>
          <w:sz w:val="22"/>
        </w:rPr>
        <w:t>means an application submitted to the authority, after a Part 2B application is approved, to determine whether a project has complied with the terms of an agreement as well as with applicable laws, rules and regulations, including federal standards, and is therefore eligible for issuance of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“Placed in service” </w:t>
      </w:r>
      <w:r>
        <w:rPr>
          <w:rFonts w:ascii="Times New Roman" w:hAnsi="Times New Roman"/>
          <w:b w:val="false"/>
          <w:i w:val="false"/>
          <w:color w:val="000000"/>
          <w:sz w:val="22"/>
        </w:rPr>
        <w:t xml:space="preserve">means the same as used in Section </w:t>
      </w:r>
      <w:r>
        <w:rPr>
          <w:rFonts w:ascii="Times New Roman" w:hAnsi="Times New Roman"/>
          <w:b w:val="false"/>
          <w:i w:val="false"/>
          <w:color w:val="000000"/>
          <w:sz w:val="22"/>
        </w:rPr>
        <w:t>47</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historic preservation tax credit program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w:t>
      </w:r>
      <w:r>
        <w:rPr>
          <w:rFonts w:ascii="Times New Roman" w:hAnsi="Times New Roman"/>
          <w:b w:val="false"/>
          <w:i w:val="false"/>
          <w:color w:val="000000"/>
          <w:sz w:val="22"/>
        </w:rPr>
        <w:t>means the real property that is the subject of a “qualified rehabilitation project” or that is the subject of an application to become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“QREs” </w:t>
      </w:r>
      <w:r>
        <w:rPr>
          <w:rFonts w:ascii="Times New Roman" w:hAnsi="Times New Roman"/>
          <w:b w:val="false"/>
          <w:i w:val="false"/>
          <w:color w:val="000000"/>
          <w:sz w:val="22"/>
        </w:rPr>
        <w:t xml:space="preserve">means expenditures that meet the definition of “qualified rehabilitation expenditures” in Section </w:t>
      </w:r>
      <w:r>
        <w:rPr>
          <w:rFonts w:ascii="Times New Roman" w:hAnsi="Times New Roman"/>
          <w:b w:val="false"/>
          <w:i w:val="false"/>
          <w:color w:val="000000"/>
          <w:sz w:val="22"/>
        </w:rPr>
        <w:t>47</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as described in rule </w:t>
      </w:r>
      <w:hyperlink r:id="rId25">
        <w:r>
          <w:rPr>
            <w:rStyle w:val="Hyperlink"/>
            <w:rFonts w:ascii="Times New Roman" w:hAnsi="Times New Roman"/>
            <w:b w:val="false"/>
            <w:i w:val="false"/>
            <w:color w:val="000000"/>
            <w:sz w:val="22"/>
          </w:rPr>
          <w:t>261—49.4</w:t>
        </w:r>
      </w:hyperlink>
      <w:r>
        <w:rPr>
          <w:rFonts w:ascii="Times New Roman" w:hAnsi="Times New Roman"/>
          <w:b w:val="false"/>
          <w:i w:val="false"/>
          <w:color w:val="000000"/>
          <w:sz w:val="22"/>
        </w:rPr>
        <w:t xml:space="preserve">(404A).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project”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project for the rehabilitation of property in this state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property is historically significant as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meets the federal standards as defined in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project is a substantial rehabilitation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entities” </w:t>
      </w:r>
      <w:r>
        <w:rPr>
          <w:rFonts w:ascii="Times New Roman" w:hAnsi="Times New Roman"/>
          <w:b w:val="false"/>
          <w:i w:val="false"/>
          <w:color w:val="000000"/>
          <w:sz w:val="22"/>
        </w:rPr>
        <w:t>means any entity owned or controlled in whole or in part by the applicant; any person or entity that owns or controls in whole or in part the applicant; or any entity owned or controlled in whole or in part by any current or prospective officer, principal, director,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means any current or prospective officer, principal, director, member, shareholder, partner,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“SHPO” </w:t>
      </w:r>
      <w:r>
        <w:rPr>
          <w:rFonts w:ascii="Times New Roman" w:hAnsi="Times New Roman"/>
          <w:b w:val="false"/>
          <w:i w:val="false"/>
          <w:color w:val="000000"/>
          <w:sz w:val="22"/>
        </w:rPr>
        <w:t>means the state historic preservation office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project” </w:t>
      </w:r>
      <w:r>
        <w:rPr>
          <w:rFonts w:ascii="Times New Roman" w:hAnsi="Times New Roman"/>
          <w:b w:val="false"/>
          <w:i w:val="false"/>
          <w:color w:val="000000"/>
          <w:sz w:val="22"/>
        </w:rPr>
        <w:t>means a qualified rehabilitation project with estimated final qualified rehabilitation expenditures of $750,000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rehabilitation” </w:t>
      </w:r>
      <w:r>
        <w:rPr>
          <w:rFonts w:ascii="Times New Roman" w:hAnsi="Times New Roman"/>
          <w:b w:val="false"/>
          <w:i w:val="false"/>
          <w:color w:val="000000"/>
          <w:sz w:val="22"/>
        </w:rPr>
        <w:t>means qualified rehabilitation costs that meet or exceed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commercial property, costs totaling at least 50 percent of the assessed value of the property, excluding the land, prior to the rehabilitation or at least $50,000, whichever is less;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noncommercial property, costs totaling at least $25,000 or 25 percent of the assessed value, excluding the land, prior to rehabilitation,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“historic tax credit” </w:t>
      </w:r>
      <w:r>
        <w:rPr>
          <w:rFonts w:ascii="Times New Roman" w:hAnsi="Times New Roman"/>
          <w:b w:val="false"/>
          <w:i w:val="false"/>
          <w:color w:val="000000"/>
          <w:sz w:val="22"/>
        </w:rPr>
        <w:t xml:space="preserve">means the historic preservation tax credit established in Iowa Code chapter </w:t>
      </w:r>
      <w:hyperlink r:id="rId2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261—49.4</w:t>
      </w:r>
      <w:r>
        <w:rPr>
          <w:rFonts w:ascii="Times New Roman" w:hAnsi="Times New Roman"/>
          <w:b/>
          <w:i w:val="false"/>
          <w:color w:val="000000"/>
          <w:sz w:val="22"/>
        </w:rPr>
        <w:t xml:space="preserve">(404A) </w:t>
      </w:r>
      <w:r>
        <w:rPr>
          <w:rFonts w:ascii="Times New Roman" w:hAnsi="Times New Roman"/>
          <w:b/>
          <w:i w:val="false"/>
          <w:color w:val="000000"/>
          <w:sz w:val="22"/>
        </w:rPr>
        <w:t xml:space="preserve">Qualified rehabilitation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color w:val="000000"/>
          <w:sz w:val="22"/>
        </w:rPr>
        <w:t xml:space="preserve">Expenditures incurred by nonprofit organizations. </w:t>
      </w:r>
      <w:r>
        <w:rPr>
          <w:rFonts w:ascii="Times New Roman" w:hAnsi="Times New Roman"/>
          <w:b w:val="false"/>
          <w:i w:val="false"/>
          <w:color w:val="000000"/>
          <w:sz w:val="22"/>
        </w:rPr>
        <w:t xml:space="preserve">Notwithstanding the definition in rule </w:t>
      </w:r>
      <w:hyperlink r:id="rId27">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 expenditures incurred by an eligible taxpayer that is a nonprofit organization shall be considered “qualified rehabilitation expenditures” if they are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Expenditures made for structural components, as that term is defined in Treasury Regulation §</w:t>
      </w:r>
      <w:r>
        <w:rPr>
          <w:rFonts w:ascii="Times New Roman" w:hAnsi="Times New Roman"/>
          <w:b w:val="false"/>
          <w:i w:val="false"/>
          <w:color w:val="000000"/>
          <w:sz w:val="22"/>
        </w:rPr>
        <w:t>1.48-1(e)(2)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Expenditures made for architectural and engineering fees, site survey fees, legal expenses, insurance premiums, and development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color w:val="000000"/>
          <w:sz w:val="22"/>
        </w:rPr>
        <w:t xml:space="preserve">What expenditures qualify. </w:t>
      </w:r>
      <w:r>
        <w:rPr>
          <w:rFonts w:ascii="Times New Roman" w:hAnsi="Times New Roman"/>
          <w:b w:val="false"/>
          <w:i w:val="false"/>
          <w:color w:val="000000"/>
          <w:sz w:val="22"/>
        </w:rPr>
        <w:t xml:space="preserve">“Qualified rehabilitation expenditures” may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registered on or after January 1, 2023, expenditures incurred within five years prior to the date an agreement is entered into under Iowa Code section </w:t>
      </w:r>
      <w:hyperlink r:id="rId28">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developer fees. The authority may establish limits on developer fees and may adjust those limits. Any adjustment made to the established limit shall take effect 24 months after the adjustment is published on the authority’s website. Developer fees that are qualified rehabilitation expenditures and that meet the limits effective at the time the Part 2B application is submitted shall be deemed reasonable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color w:val="000000"/>
          <w:sz w:val="22"/>
        </w:rPr>
        <w:t xml:space="preserve">Government financing. </w:t>
      </w:r>
      <w:r>
        <w:rPr>
          <w:rFonts w:ascii="Times New Roman" w:hAnsi="Times New Roman"/>
          <w:b w:val="false"/>
          <w:i w:val="false"/>
          <w:color w:val="000000"/>
          <w:sz w:val="22"/>
        </w:rPr>
        <w:t xml:space="preserve">“Qualified rehabilitation expenditures” does not include those expenditures financed by federal, state, or local government grants or forgivable loans unless otherwise allowed under Section </w:t>
      </w:r>
      <w:r>
        <w:rPr>
          <w:rFonts w:ascii="Times New Roman" w:hAnsi="Times New Roman"/>
          <w:b w:val="false"/>
          <w:i w:val="false"/>
          <w:color w:val="000000"/>
          <w:sz w:val="22"/>
        </w:rPr>
        <w:t>47</w:t>
      </w:r>
      <w:r>
        <w:rPr>
          <w:rFonts w:ascii="Times New Roman" w:hAnsi="Times New Roman"/>
          <w:b w:val="false"/>
          <w:i w:val="false"/>
          <w:color w:val="000000"/>
          <w:sz w:val="22"/>
        </w:rPr>
        <w:t xml:space="preserve">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For an eligible taxpayer that is not eligible for the federal rehabilitation credit, expenditures financed with federal, state, or local government grants or forgivable loans are not qualified rehabilitation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261—49.5</w:t>
      </w:r>
      <w:r>
        <w:rPr>
          <w:rFonts w:ascii="Times New Roman" w:hAnsi="Times New Roman"/>
          <w:b/>
          <w:i w:val="false"/>
          <w:color w:val="000000"/>
          <w:sz w:val="22"/>
        </w:rPr>
        <w:t xml:space="preserve">(404A) </w:t>
      </w:r>
      <w:r>
        <w:rPr>
          <w:rFonts w:ascii="Times New Roman" w:hAnsi="Times New Roman"/>
          <w:b/>
          <w:i w:val="false"/>
          <w:color w:val="000000"/>
          <w:sz w:val="22"/>
        </w:rPr>
        <w:t xml:space="preserve">Historic preservation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color w:val="000000"/>
          <w:sz w:val="22"/>
        </w:rPr>
        <w:t xml:space="preserve">Tax credit. </w:t>
      </w:r>
      <w:r>
        <w:rPr>
          <w:rFonts w:ascii="Times New Roman" w:hAnsi="Times New Roman"/>
          <w:b w:val="false"/>
          <w:i w:val="false"/>
          <w:color w:val="000000"/>
          <w:sz w:val="22"/>
        </w:rPr>
        <w:t xml:space="preserve">An eligible taxpayer who has entered into and complied with an agreement under Iowa Code section </w:t>
      </w:r>
      <w:hyperlink r:id="rId29">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has complied with the program statutes and rules is eligible to claim a historic tax credit of 25 percent of the qualified rehabilitation expenditures of a qualified rehabilitation project that are specified in the agreement. Notwithstanding any other provision in Iowa Code chapter </w:t>
      </w:r>
      <w:hyperlink r:id="rId3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this chapter, or any provision in the agreement to the contrary, the amount of the tax credit shall not exceed 25 percent of the final qualified rehabilitation expenditures verified by the authority pursuant to Iowa Code section </w:t>
      </w:r>
      <w:hyperlink r:id="rId31">
        <w:r>
          <w:rPr>
            <w:rStyle w:val="Hyperlink"/>
            <w:rFonts w:ascii="Times New Roman" w:hAnsi="Times New Roman"/>
            <w:b w:val="false"/>
            <w:i w:val="false"/>
            <w:color w:val="000000"/>
            <w:sz w:val="22"/>
          </w:rPr>
          <w:t>404A.3(5)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color w:val="000000"/>
          <w:sz w:val="22"/>
        </w:rPr>
        <w:t xml:space="preserve">How to claim the tax credit. </w:t>
      </w:r>
      <w:r>
        <w:rPr>
          <w:rFonts w:ascii="Times New Roman" w:hAnsi="Times New Roman"/>
          <w:b w:val="false"/>
          <w:i w:val="false"/>
          <w:color w:val="000000"/>
          <w:sz w:val="22"/>
        </w:rPr>
        <w:t>To receive the tax credit, a taxpayer shall file a claim in accordance with any applicable administrative rules adopted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261—49.6</w:t>
      </w:r>
      <w:r>
        <w:rPr>
          <w:rFonts w:ascii="Times New Roman" w:hAnsi="Times New Roman"/>
          <w:b/>
          <w:i w:val="false"/>
          <w:color w:val="000000"/>
          <w:sz w:val="22"/>
        </w:rPr>
        <w:t xml:space="preserve">(404A) </w:t>
      </w:r>
      <w:r>
        <w:rPr>
          <w:rFonts w:ascii="Times New Roman" w:hAnsi="Times New Roman"/>
          <w:b/>
          <w:i w:val="false"/>
          <w:color w:val="000000"/>
          <w:sz w:val="22"/>
        </w:rPr>
        <w:t xml:space="preserve">Management of annual aggregate tax credit award limit. </w:t>
      </w:r>
      <w:r>
        <w:rPr>
          <w:rFonts w:ascii="Times New Roman" w:hAnsi="Times New Roman"/>
          <w:b w:val="false"/>
          <w:i w:val="false"/>
          <w:color w:val="000000"/>
          <w:sz w:val="22"/>
        </w:rPr>
        <w:t xml:space="preserve">The authority shall not register more projects in a given fiscal year for tentative awards than there are tax credits available for that fiscal year under Iowa Code section </w:t>
      </w:r>
      <w:hyperlink r:id="rId32">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The authority will determine the projects for which sufficient tax credits are available based on the estimated qualified rehabilitation expenditures identified in the Part 2B application, plus allowable cost overruns as described in paragraph </w:t>
      </w:r>
      <w:hyperlink r:id="rId33">
        <w:r>
          <w:rPr>
            <w:rStyle w:val="Hyperlink"/>
            <w:rFonts w:ascii="Times New Roman" w:hAnsi="Times New Roman"/>
            <w:b w:val="false"/>
            <w:i w:val="false"/>
            <w:color w:val="000000"/>
            <w:sz w:val="22"/>
          </w:rPr>
          <w:t>49.12(1)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color w:val="000000"/>
          <w:sz w:val="22"/>
        </w:rPr>
        <w:t xml:space="preserve">Registration scoring. </w:t>
      </w:r>
      <w:r>
        <w:rPr>
          <w:rFonts w:ascii="Times New Roman" w:hAnsi="Times New Roman"/>
          <w:b w:val="false"/>
          <w:i w:val="false"/>
          <w:color w:val="000000"/>
          <w:sz w:val="22"/>
        </w:rPr>
        <w:t xml:space="preserve">If applicants’ total tax credit requests from a fiscal year allocation exceed the tax credit allocation for that fiscal year, the authority will prioritize its determinations based on the applicants’ registration scores. If there are no more projects that meet the minimum score as described in rule </w:t>
      </w:r>
      <w:hyperlink r:id="rId34">
        <w:r>
          <w:rPr>
            <w:rStyle w:val="Hyperlink"/>
            <w:rFonts w:ascii="Times New Roman" w:hAnsi="Times New Roman"/>
            <w:b w:val="false"/>
            <w:i w:val="false"/>
            <w:color w:val="000000"/>
            <w:sz w:val="22"/>
          </w:rPr>
          <w:t>261—49.11</w:t>
        </w:r>
      </w:hyperlink>
      <w:r>
        <w:rPr>
          <w:rFonts w:ascii="Times New Roman" w:hAnsi="Times New Roman"/>
          <w:b w:val="false"/>
          <w:i w:val="false"/>
          <w:color w:val="000000"/>
          <w:sz w:val="22"/>
        </w:rPr>
        <w:t xml:space="preserve">(404A), the authority may make the remaining tax credits available for small projects or allow the remaining tax credits for the fiscal year to carry forward to the succeeding fiscal year to the extent permitted by Iowa Code section </w:t>
      </w:r>
      <w:hyperlink r:id="rId35">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color w:val="000000"/>
          <w:sz w:val="22"/>
        </w:rPr>
        <w:t xml:space="preserve">Registrations for future tax credit allocations. </w:t>
      </w:r>
      <w:r>
        <w:rPr>
          <w:rFonts w:ascii="Times New Roman" w:hAnsi="Times New Roman"/>
          <w:b w:val="false"/>
          <w:i w:val="false"/>
          <w:color w:val="000000"/>
          <w:sz w:val="22"/>
        </w:rPr>
        <w:t>Registrations for future tax credit allocations require a new Part 2B application. When registering projects for a particular fiscal year, the authority shall not award, reserve, or register tax credits from future fiscal years’ tax credit allocations. An applicant whose project is not registered due to an insufficient score or noncompliance with the application or the program statute or rules may submit future applications for future fiscal year tax credit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w:t>
      </w:r>
      <w:r>
        <w:rPr>
          <w:rFonts w:ascii="Times New Roman" w:hAnsi="Times New Roman"/>
          <w:b w:val="false"/>
          <w:i w:val="false"/>
          <w:color w:val="000000"/>
          <w:sz w:val="22"/>
        </w:rPr>
        <w:t> </w:t>
      </w:r>
      <w:r>
        <w:rPr>
          <w:rFonts w:ascii="Times New Roman" w:hAnsi="Times New Roman"/>
          <w:b w:val="false"/>
          <w:i/>
          <w:color w:val="000000"/>
          <w:sz w:val="22"/>
        </w:rPr>
        <w:t xml:space="preserve">Reallocation or rollover of available tax credit awards. </w:t>
      </w:r>
      <w:r>
        <w:rPr>
          <w:rFonts w:ascii="Times New Roman" w:hAnsi="Times New Roman"/>
          <w:b w:val="false"/>
          <w:i w:val="false"/>
          <w:color w:val="000000"/>
          <w:sz w:val="22"/>
        </w:rPr>
        <w:t xml:space="preserve">Tax credits may be reallocated or rolled over into future fiscal years to the extent permitted by Iowa Code section </w:t>
      </w:r>
      <w:hyperlink r:id="rId36">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261—49.7</w:t>
      </w:r>
      <w:r>
        <w:rPr>
          <w:rFonts w:ascii="Times New Roman" w:hAnsi="Times New Roman"/>
          <w:b/>
          <w:i w:val="false"/>
          <w:color w:val="000000"/>
          <w:sz w:val="22"/>
        </w:rPr>
        <w:t xml:space="preserve">(404A)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val="false"/>
          <w:color w:val="000000"/>
          <w:sz w:val="22"/>
        </w:rPr>
        <w:t>All applications and other filings related to the program shall be on such forms and in accordance with such instructions as may be established by SHPO and the authority. Information about the program, including a link to the online applications and instructions, may be obtained by visiting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261—49.8</w:t>
      </w:r>
      <w:r>
        <w:rPr>
          <w:rFonts w:ascii="Times New Roman" w:hAnsi="Times New Roman"/>
          <w:b/>
          <w:i w:val="false"/>
          <w:color w:val="000000"/>
          <w:sz w:val="22"/>
        </w:rPr>
        <w:t xml:space="preserve">(404A) </w:t>
      </w:r>
      <w:r>
        <w:rPr>
          <w:rFonts w:ascii="Times New Roman" w:hAnsi="Times New Roman"/>
          <w:b/>
          <w:i w:val="false"/>
          <w:color w:val="000000"/>
          <w:sz w:val="22"/>
        </w:rPr>
        <w:t xml:space="preserve">Small projects. </w:t>
      </w:r>
      <w:r>
        <w:rPr>
          <w:rFonts w:ascii="Times New Roman" w:hAnsi="Times New Roman"/>
          <w:b w:val="false"/>
          <w:i w:val="false"/>
          <w:color w:val="000000"/>
          <w:sz w:val="22"/>
        </w:rPr>
        <w:t>If an applicant anticipates that the final qualified rehabilitation expenditures will exceed $750,000, the applicant shall not submit its application as a small project. The authority will not permit a small project applicant to submit additional or amended applications that would cause the final qualified expenditures to exceed $750,000.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49.8(1)</w:t>
      </w:r>
      <w:r>
        <w:rPr>
          <w:rFonts w:ascii="Times New Roman" w:hAnsi="Times New Roman"/>
          <w:b w:val="false"/>
          <w:i w:val="false"/>
          <w:color w:val="000000"/>
          <w:sz w:val="22"/>
        </w:rPr>
        <w:t> </w:t>
      </w:r>
      <w:r>
        <w:rPr>
          <w:rFonts w:ascii="Times New Roman" w:hAnsi="Times New Roman"/>
          <w:b w:val="false"/>
          <w:i/>
          <w:color w:val="000000"/>
          <w:sz w:val="22"/>
        </w:rPr>
        <w:t xml:space="preserve">Small project fund. </w:t>
      </w:r>
      <w:r>
        <w:rPr>
          <w:rFonts w:ascii="Times New Roman" w:hAnsi="Times New Roman"/>
          <w:b w:val="false"/>
          <w:i w:val="false"/>
          <w:color w:val="000000"/>
          <w:sz w:val="22"/>
        </w:rPr>
        <w:t>The authority shall allocate at least 5 percent of its annual fiscal year tax credit award limit to small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49.8(2)</w:t>
      </w:r>
      <w:r>
        <w:rPr>
          <w:rFonts w:ascii="Times New Roman" w:hAnsi="Times New Roman"/>
          <w:b w:val="false"/>
          <w:i w:val="false"/>
          <w:color w:val="000000"/>
          <w:sz w:val="22"/>
        </w:rPr>
        <w:t> </w:t>
      </w:r>
      <w:r>
        <w:rPr>
          <w:rFonts w:ascii="Times New Roman" w:hAnsi="Times New Roman"/>
          <w:b w:val="false"/>
          <w:i/>
          <w:color w:val="000000"/>
          <w:sz w:val="22"/>
        </w:rPr>
        <w:t xml:space="preserve">Aggregate award limit. </w:t>
      </w:r>
      <w:r>
        <w:rPr>
          <w:rFonts w:ascii="Times New Roman" w:hAnsi="Times New Roman"/>
          <w:b w:val="false"/>
          <w:i w:val="false"/>
          <w:color w:val="000000"/>
          <w:sz w:val="22"/>
        </w:rPr>
        <w:t xml:space="preserve">For applicants that receive credits from the small project allocation, the cumulative total award for multiple applications for a single property shall not exceed $750,000 in qualified rehabilitation expenditures plus any allowable cost overruns as described in paragraph </w:t>
      </w:r>
      <w:hyperlink r:id="rId37">
        <w:r>
          <w:rPr>
            <w:rStyle w:val="Hyperlink"/>
            <w:rFonts w:ascii="Times New Roman" w:hAnsi="Times New Roman"/>
            <w:b w:val="false"/>
            <w:i w:val="false"/>
            <w:color w:val="000000"/>
            <w:sz w:val="22"/>
          </w:rPr>
          <w:t>49.12(1)</w:t>
        </w:r>
      </w:hyperlink>
      <w:r>
        <w:rPr>
          <w:rFonts w:ascii="Times New Roman" w:hAnsi="Times New Roman"/>
          <w:b w:val="false"/>
          <w:i/>
          <w:color w:val="000000"/>
          <w:sz w:val="22"/>
        </w:rPr>
        <w:t>“c,”</w:t>
      </w:r>
      <w:r>
        <w:rPr>
          <w:rFonts w:ascii="Times New Roman" w:hAnsi="Times New Roman"/>
          <w:b w:val="false"/>
          <w:i w:val="false"/>
          <w:color w:val="000000"/>
          <w:sz w:val="22"/>
        </w:rPr>
        <w:t xml:space="preserve"> regardless of the final qualified rehabilitation expenditures. The authority will not accept an application by the same owner for a property for which credits were previously received through the small project fund if the application causes the cumulative total to exceed $750,000, plus any allowable cost overruns as described in paragraph </w:t>
      </w:r>
      <w:hyperlink r:id="rId38">
        <w:r>
          <w:rPr>
            <w:rStyle w:val="Hyperlink"/>
            <w:rFonts w:ascii="Times New Roman" w:hAnsi="Times New Roman"/>
            <w:b w:val="false"/>
            <w:i w:val="false"/>
            <w:color w:val="000000"/>
            <w:sz w:val="22"/>
          </w:rPr>
          <w:t>49.12(1)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49.8(3)</w:t>
      </w:r>
      <w:r>
        <w:rPr>
          <w:rFonts w:ascii="Times New Roman" w:hAnsi="Times New Roman"/>
          <w:b w:val="false"/>
          <w:i w:val="false"/>
          <w:color w:val="000000"/>
          <w:sz w:val="22"/>
        </w:rPr>
        <w:t> </w:t>
      </w:r>
      <w:r>
        <w:rPr>
          <w:rFonts w:ascii="Times New Roman" w:hAnsi="Times New Roman"/>
          <w:b w:val="false"/>
          <w:i/>
          <w:color w:val="000000"/>
          <w:sz w:val="22"/>
        </w:rPr>
        <w:t xml:space="preserve">Small project Part 2B applications. </w:t>
      </w:r>
      <w:r>
        <w:rPr>
          <w:rFonts w:ascii="Times New Roman" w:hAnsi="Times New Roman"/>
          <w:b w:val="false"/>
          <w:i w:val="false"/>
          <w:color w:val="000000"/>
          <w:sz w:val="22"/>
        </w:rPr>
        <w:t>Small project application forms may be obtained by visiting the authority’s website. Small project Part 2B applications may be accepted on a continuous basis or may be accepted during one or more application periods. Small project Part 2B applications may be evaluated on a first-come, first-served basis, subject to the availability of tax credits.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261—49.9</w:t>
      </w:r>
      <w:r>
        <w:rPr>
          <w:rFonts w:ascii="Times New Roman" w:hAnsi="Times New Roman"/>
          <w:b/>
          <w:i w:val="false"/>
          <w:color w:val="000000"/>
          <w:sz w:val="22"/>
        </w:rPr>
        <w:t xml:space="preserve">(404A) </w:t>
      </w:r>
      <w:r>
        <w:rPr>
          <w:rFonts w:ascii="Times New Roman" w:hAnsi="Times New Roman"/>
          <w:b/>
          <w:i w:val="false"/>
          <w:color w:val="000000"/>
          <w:sz w:val="22"/>
        </w:rPr>
        <w:t xml:space="preserve">Who may apply for the tax credit. </w:t>
      </w:r>
      <w:r>
        <w:rPr>
          <w:rFonts w:ascii="Times New Roman" w:hAnsi="Times New Roman"/>
          <w:b w:val="false"/>
          <w:i w:val="false"/>
          <w:color w:val="000000"/>
          <w:sz w:val="22"/>
        </w:rPr>
        <w:t xml:space="preserve">Only an eligible taxpayer as defined in rule </w:t>
      </w:r>
      <w:hyperlink r:id="rId39">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 xml:space="preserve">(404A) may apply for the tax credit. A nonprofit organization as defined in rule </w:t>
      </w:r>
      <w:hyperlink r:id="rId40">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 may apply for the tax credit if the nonprofit organization is the fee simple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49.9(1)</w:t>
      </w:r>
      <w:r>
        <w:rPr>
          <w:rFonts w:ascii="Times New Roman" w:hAnsi="Times New Roman"/>
          <w:b w:val="false"/>
          <w:i w:val="false"/>
          <w:color w:val="000000"/>
          <w:sz w:val="22"/>
        </w:rPr>
        <w:t> </w:t>
      </w:r>
      <w:r>
        <w:rPr>
          <w:rFonts w:ascii="Times New Roman" w:hAnsi="Times New Roman"/>
          <w:b w:val="false"/>
          <w:i/>
          <w:color w:val="000000"/>
          <w:sz w:val="22"/>
        </w:rPr>
        <w:t xml:space="preserve">Preliminary documentation. </w:t>
      </w:r>
      <w:r>
        <w:rPr>
          <w:rFonts w:ascii="Times New Roman" w:hAnsi="Times New Roman"/>
          <w:b w:val="false"/>
          <w:i w:val="false"/>
          <w:color w:val="000000"/>
          <w:sz w:val="22"/>
        </w:rPr>
        <w:t>At the time a Part 1 application or Part 2 application is submitted, an applicant will be expected to provide preliminary documentation of the applicant’s status as an eligible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is the fee simple owner shall provide title documentation. If the title is held in the name of an entity, the applicant shall also provide documentation that indicates that the signatory is the authorized representative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that is not the fee simple owner but plans to apply for the federal rehabilitation credit shall provide a copy of the approved federal Part 1 application, unless the property is individually listed on the National Register of Historic Places. The applicant must also certify that the applicant plans to apply and expects to qualify for the federal credit. The applicant must obtain from the fee simple owner of the property a written statement that indicates that the owner is aware of the application and has no objection and include the statement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49.9(2)</w:t>
      </w:r>
      <w:r>
        <w:rPr>
          <w:rFonts w:ascii="Times New Roman" w:hAnsi="Times New Roman"/>
          <w:b w:val="false"/>
          <w:i w:val="false"/>
          <w:color w:val="000000"/>
          <w:sz w:val="22"/>
        </w:rPr>
        <w:t> </w:t>
      </w:r>
      <w:r>
        <w:rPr>
          <w:rFonts w:ascii="Times New Roman" w:hAnsi="Times New Roman"/>
          <w:b w:val="false"/>
          <w:i/>
          <w:color w:val="000000"/>
          <w:sz w:val="22"/>
        </w:rPr>
        <w:t xml:space="preserve"> Final documentation. </w:t>
      </w:r>
      <w:r>
        <w:rPr>
          <w:rFonts w:ascii="Times New Roman" w:hAnsi="Times New Roman"/>
          <w:b w:val="false"/>
          <w:i w:val="false"/>
          <w:color w:val="000000"/>
          <w:sz w:val="22"/>
        </w:rPr>
        <w:t xml:space="preserve">At the time an eligible taxpayer enters an agreement with the authority pursuant to rule </w:t>
      </w:r>
      <w:hyperlink r:id="rId41">
        <w:r>
          <w:rPr>
            <w:rStyle w:val="Hyperlink"/>
            <w:rFonts w:ascii="Times New Roman" w:hAnsi="Times New Roman"/>
            <w:b w:val="false"/>
            <w:i w:val="false"/>
            <w:color w:val="000000"/>
            <w:sz w:val="22"/>
          </w:rPr>
          <w:t>261—49.12</w:t>
        </w:r>
      </w:hyperlink>
      <w:r>
        <w:rPr>
          <w:rFonts w:ascii="Times New Roman" w:hAnsi="Times New Roman"/>
          <w:b w:val="false"/>
          <w:i w:val="false"/>
          <w:color w:val="000000"/>
          <w:sz w:val="22"/>
        </w:rPr>
        <w:t>(404A), the eligible taxpayer must provide documentation that the eligible taxpayer is a fee simple owner or has a binding qualified long-term lease that meets the requirements of the federal rehabilitation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49.9(3)</w:t>
      </w:r>
      <w:r>
        <w:rPr>
          <w:rFonts w:ascii="Times New Roman" w:hAnsi="Times New Roman"/>
          <w:b w:val="false"/>
          <w:i w:val="false"/>
          <w:color w:val="000000"/>
          <w:sz w:val="22"/>
        </w:rPr>
        <w:t> </w:t>
      </w:r>
      <w:r>
        <w:rPr>
          <w:rFonts w:ascii="Times New Roman" w:hAnsi="Times New Roman"/>
          <w:b w:val="false"/>
          <w:i/>
          <w:color w:val="000000"/>
          <w:sz w:val="22"/>
        </w:rPr>
        <w:t xml:space="preserve">Who may not apply. </w:t>
      </w:r>
      <w:r>
        <w:rPr>
          <w:rFonts w:ascii="Times New Roman" w:hAnsi="Times New Roman"/>
          <w:b w:val="false"/>
          <w:i w:val="false"/>
          <w:color w:val="000000"/>
          <w:sz w:val="22"/>
        </w:rPr>
        <w:t xml:space="preserve">Governmental bodies as defined in Iowa Code section </w:t>
      </w:r>
      <w:hyperlink r:id="rId42">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 xml:space="preserve"> may not apply.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261—49.10</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1 and Part 2 applications. </w:t>
      </w:r>
      <w:r>
        <w:rPr>
          <w:rFonts w:ascii="Times New Roman" w:hAnsi="Times New Roman"/>
          <w:b w:val="false"/>
          <w:i w:val="false"/>
          <w:color w:val="000000"/>
          <w:sz w:val="22"/>
        </w:rPr>
        <w:t xml:space="preserve">An eligible taxpayer shall submit preliminary applications to SHPO to evaluate, in consultation with the authority, whether the property is historically significant (Part 1) and whether the proposed rehabilitation work meets the federal standards (Part 2). Part 1 and Part 2 applications will be submitted and evaluated in accordance with the SHPO’s rules in </w:t>
      </w:r>
      <w:hyperlink r:id="rId43">
        <w:r>
          <w:rPr>
            <w:rStyle w:val="Hyperlink"/>
            <w:rFonts w:ascii="Times New Roman" w:hAnsi="Times New Roman"/>
            <w:b w:val="false"/>
            <w:i w:val="false"/>
            <w:color w:val="000000"/>
            <w:sz w:val="22"/>
          </w:rPr>
          <w:t>223—Chapter 48</w:t>
        </w:r>
      </w:hyperlink>
      <w:r>
        <w:rPr>
          <w:rFonts w:ascii="Times New Roman" w:hAnsi="Times New Roman"/>
          <w:b w:val="false"/>
          <w:i w:val="false"/>
          <w:color w:val="000000"/>
          <w:sz w:val="22"/>
        </w:rPr>
        <w:t>. The authority will evaluate Part 1 and Part 2 applications to ensure applicants are eligible taxpayers. An applicant must submit a Part 1 application prior to the project being completed and placed in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261—49.11</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2B application. </w:t>
      </w:r>
      <w:r>
        <w:rPr>
          <w:rFonts w:ascii="Times New Roman" w:hAnsi="Times New Roman"/>
          <w:b w:val="false"/>
          <w:i w:val="false"/>
          <w:color w:val="000000"/>
          <w:sz w:val="22"/>
        </w:rPr>
        <w:t xml:space="preserve">If SHPO has approved Part 1 and Part 2 applications for a project, the applicant may submit a Part 2B application to the authority during the registration application period as announced on the authority’s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49.11(1)</w:t>
      </w:r>
      <w:r>
        <w:rPr>
          <w:rFonts w:ascii="Times New Roman" w:hAnsi="Times New Roman"/>
          <w:b w:val="false"/>
          <w:i w:val="false"/>
          <w:color w:val="000000"/>
          <w:sz w:val="22"/>
        </w:rPr>
        <w:t> </w:t>
      </w:r>
      <w:r>
        <w:rPr>
          <w:rFonts w:ascii="Times New Roman" w:hAnsi="Times New Roman"/>
          <w:b w:val="false"/>
          <w:i/>
          <w:color w:val="000000"/>
          <w:sz w:val="22"/>
        </w:rPr>
        <w:t xml:space="preserve">Proof of status as eligible taxpayer. </w:t>
      </w:r>
      <w:r>
        <w:rPr>
          <w:rFonts w:ascii="Times New Roman" w:hAnsi="Times New Roman"/>
          <w:b w:val="false"/>
          <w:i w:val="false"/>
          <w:color w:val="000000"/>
          <w:sz w:val="22"/>
        </w:rPr>
        <w:t xml:space="preserve">An eligible taxpayer as defined in rule </w:t>
      </w:r>
      <w:hyperlink r:id="rId44">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 may submit a Part 2B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is the fee simple owner must notify the authority of any changes in ownership status since the Part 2 application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the fee simple owner but plans to apply for the federal rehabilitation credit, the applicant’s application will be scored based on the steps taken toward ownership as described in subrule </w:t>
      </w:r>
      <w:hyperlink r:id="rId45">
        <w:r>
          <w:rPr>
            <w:rStyle w:val="Hyperlink"/>
            <w:rFonts w:ascii="Times New Roman" w:hAnsi="Times New Roman"/>
            <w:b w:val="false"/>
            <w:i w:val="false"/>
            <w:color w:val="000000"/>
            <w:sz w:val="22"/>
          </w:rPr>
          <w:t>49.11(6)</w:t>
        </w:r>
      </w:hyperlink>
      <w:r>
        <w:rPr>
          <w:rFonts w:ascii="Times New Roman" w:hAnsi="Times New Roman"/>
          <w:b w:val="false"/>
          <w:i w:val="false"/>
          <w:color w:val="000000"/>
          <w:sz w:val="22"/>
        </w:rPr>
        <w:t>. The applicant must certify that the applicant understands that the applicant will not qualify for any state historic tax credit if the applicant is not the fee simple owner or not otherwise an eligible taxpayer. The applicant must also provide a written statement that indicates that the owner is aware of the application and has no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49.11(2)</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The authority may accept Part 2B applications on a continuous basis or may accept applications during one or more application periods.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 xml:space="preserve">The Part 2B application must include the following information as well as any additional information the authority may request: total project cost, an estimated schedule of qualified rehabilitation expenditures and a schedule of all funding sources received or anticipated to be received that will be used to fund the project, including those funding sources used or that will be used to finance or reimburse both qualified rehabilitation expenditures and those expenditures not being claimed as qualified rehabilitation expenditures, along with supporting documentation. The schedule must identify all government funding as defined in rule </w:t>
      </w:r>
      <w:hyperlink r:id="rId46">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 xml:space="preserve">(404A), including any funding that originated or will originate from any government, whether federal, state, or local.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49.11(4)</w:t>
      </w:r>
      <w:r>
        <w:rPr>
          <w:rFonts w:ascii="Times New Roman" w:hAnsi="Times New Roman"/>
          <w:b w:val="false"/>
          <w:i w:val="false"/>
          <w:color w:val="000000"/>
          <w:sz w:val="22"/>
        </w:rPr>
        <w:t> </w:t>
      </w:r>
      <w:r>
        <w:rPr>
          <w:rFonts w:ascii="Times New Roman" w:hAnsi="Times New Roman"/>
          <w:b w:val="false"/>
          <w:i/>
          <w:color w:val="000000"/>
          <w:sz w:val="22"/>
        </w:rPr>
        <w:t xml:space="preserve">Certification and release of information. </w:t>
      </w:r>
      <w:r>
        <w:rPr>
          <w:rFonts w:ascii="Times New Roman" w:hAnsi="Times New Roman"/>
          <w:b w:val="false"/>
          <w:i w:val="false"/>
          <w:color w:val="000000"/>
          <w:sz w:val="22"/>
        </w:rPr>
        <w:t xml:space="preserve">The applicant must identify and list all related persons and related entities, as those terms are defined in rule </w:t>
      </w:r>
      <w:hyperlink r:id="rId47">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 The applicant must release information requested by the authority regarding the applicant, related persons, and related entities. The applicant must also certify that all representations, warranties, documents, or statements made or furnished in connection with the Part 2B application are true and accurate. The certification and release of information are intended to identify information that may disqualify an applicant from participating in the program or that may have an adverse impact on the project. The certification and release of information are also intended to provide the authority with information regarding the economic, ownership, and management realities related to the project by providing information about the actual persons and businesses affiliated with the applicant, the actual persons and businesses that will derive financial benefits from the project, and other businesses affiliated with the individuals involved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reject an application for registration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answer the questions and provide all requested information and documents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false or inaccurate information or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not in good standing with any local, state, or federal taxing authority. This provision shall not apply to an applicant, related person, or related entity that has timely filed an extension to file a local, state or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currently in default, has an uncured breach, or is otherwise not in compliance with any entity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has any overdue amounts owed to the state of Iowa, any agency of the state of Iowa, any other entity or instrumentality of the state of Iowa, or any person or entity that is eligible to submit claims to the state offset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authority determines that the applicant will not be able to provide representations, warranties, conditions, or other terms of an agreement that would be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is disclosed to the authority that would cause the authority to decline to enter into an agreement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Scope of inquiry. The authority may ask the applicant to disclose information and documents about other entities affiliated with the applicant, a related person, or a related entity if the authority determines that the information regarding the applicant, related persons, and related entities does not adequately disclose to the authority the economic, ownership, and management structure and realities related to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reject an application in accordance with this subrule, the authority will consider factors including, but not limited to, the nature of the information disclosed and whether the applicant has a record of violations of law over a period of time that tends to show a consistent pattern.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49.11(5)</w:t>
      </w:r>
      <w:r>
        <w:rPr>
          <w:rFonts w:ascii="Times New Roman" w:hAnsi="Times New Roman"/>
          <w:b w:val="false"/>
          <w:i w:val="false"/>
          <w:color w:val="000000"/>
          <w:sz w:val="22"/>
        </w:rPr>
        <w:t> </w:t>
      </w:r>
      <w:r>
        <w:rPr>
          <w:rFonts w:ascii="Times New Roman" w:hAnsi="Times New Roman"/>
          <w:b w:val="false"/>
          <w:i/>
          <w:color w:val="000000"/>
          <w:sz w:val="22"/>
        </w:rPr>
        <w:t xml:space="preserve">Review period. </w:t>
      </w:r>
      <w:r>
        <w:rPr>
          <w:rFonts w:ascii="Times New Roman" w:hAnsi="Times New Roman"/>
          <w:b w:val="false"/>
          <w:i w:val="false"/>
          <w:color w:val="000000"/>
          <w:sz w:val="22"/>
        </w:rPr>
        <w:t>In general, the authority, in consultation with SHPO, will review fully completed Part 2B applications within 60 calendar days of receipt. The 60-day review period will be adhered to as closely as possible; however, it is not mandatory. If the application is incomplete when submitted or if for any other reason the authority must request additional information, the 60-day review period will restart when the requested information is received by the authority. The authority may reject an application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49.11(6)</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w:t>
      </w:r>
      <w:r>
        <w:rPr>
          <w:rFonts w:ascii="Times New Roman" w:hAnsi="Times New Roman"/>
          <w:b w:val="false"/>
          <w:i w:val="false"/>
          <w:color w:val="000000"/>
          <w:sz w:val="22"/>
        </w:rPr>
        <w:t>All completed applications will be reviewed and scored. Scoring of the application will take into account readiness criteria,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Rehabilitation planning and project readiness. Projects will be scored based on whether the Part 2 application was approved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Secured financing. Weighted preference will be given to projects that have financing or equity or both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Steps taken towards ownership. Weighted preference will be given to the projects of applicants that are currently fee simple owners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government support. Weighted preference will be given to projects that have received support from their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Rehabilitation timeline. Weighted preference will be given to projects that will be completed in the shortest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Zoning and code review. Weighted preference will be given to the projects of applicants that can demonstrate a determination by the authority having jurisdiction that the project complies with the guidelines for construction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authority may find relevant and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49.11(7)</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Upon reviewing and scoring all applications that are part of the application period, the authority may register the qualified rehabilitation projects to the extent sufficient tax credits are available based on the estimated qualified rehabilitation costs identified in the Part 2B applications. As described in rule </w:t>
      </w:r>
      <w:hyperlink r:id="rId48">
        <w:r>
          <w:rPr>
            <w:rStyle w:val="Hyperlink"/>
            <w:rFonts w:ascii="Times New Roman" w:hAnsi="Times New Roman"/>
            <w:b w:val="false"/>
            <w:i w:val="false"/>
            <w:color w:val="000000"/>
            <w:sz w:val="22"/>
          </w:rPr>
          <w:t>261—49.6</w:t>
        </w:r>
      </w:hyperlink>
      <w:r>
        <w:rPr>
          <w:rFonts w:ascii="Times New Roman" w:hAnsi="Times New Roman"/>
          <w:b w:val="false"/>
          <w:i w:val="false"/>
          <w:color w:val="000000"/>
          <w:sz w:val="22"/>
        </w:rPr>
        <w:t xml:space="preserve">(404A), in the case of insufficient funding, preference will be given to the projects with the highest registration score based on the criteria in subrule </w:t>
      </w:r>
      <w:hyperlink r:id="rId49">
        <w:r>
          <w:rPr>
            <w:rStyle w:val="Hyperlink"/>
            <w:rFonts w:ascii="Times New Roman" w:hAnsi="Times New Roman"/>
            <w:b w:val="false"/>
            <w:i w:val="false"/>
            <w:color w:val="000000"/>
            <w:sz w:val="22"/>
          </w:rPr>
          <w:t>49.11(6)</w:t>
        </w:r>
      </w:hyperlink>
      <w:r>
        <w:rPr>
          <w:rFonts w:ascii="Times New Roman" w:hAnsi="Times New Roman"/>
          <w:b w:val="false"/>
          <w:i w:val="false"/>
          <w:color w:val="000000"/>
          <w:sz w:val="22"/>
        </w:rPr>
        <w:t>. At the time the project is registered, the authority shall make a preliminary determination as to the amount of tax credits for which the project qualifies. The authority shall make best efforts to notify the applicant within 60 calendar days after the close of the application period as to whether the applicant’s project has been registered. The registration notice shall include the amount of the applicant’s tentative tax credit award, along with a notice that the amount is a preliminary, nonbinding determination only. Small projects may submit Part 2B applications year-round; however, the application must be submitted no later than 12 months after receipt of approval of the Part 2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261—49.12</w:t>
      </w:r>
      <w:r>
        <w:rPr>
          <w:rFonts w:ascii="Times New Roman" w:hAnsi="Times New Roman"/>
          <w:b/>
          <w:i w:val="false"/>
          <w:color w:val="000000"/>
          <w:sz w:val="22"/>
        </w:rPr>
        <w:t xml:space="preserve">(404A) </w:t>
      </w:r>
      <w:r>
        <w:rPr>
          <w:rFonts w:ascii="Times New Roman" w:hAnsi="Times New Roman"/>
          <w:b/>
          <w:i w:val="false"/>
          <w:color w:val="000000"/>
          <w:sz w:val="22"/>
        </w:rPr>
        <w:t xml:space="preserve">Agreement. </w:t>
      </w:r>
      <w:r>
        <w:rPr>
          <w:rFonts w:ascii="Times New Roman" w:hAnsi="Times New Roman"/>
          <w:b w:val="false"/>
          <w:i w:val="false"/>
          <w:color w:val="000000"/>
          <w:sz w:val="22"/>
        </w:rPr>
        <w:t xml:space="preserve">Upon successful registration of the project as described in subrule </w:t>
      </w:r>
      <w:hyperlink r:id="rId50">
        <w:r>
          <w:rPr>
            <w:rStyle w:val="Hyperlink"/>
            <w:rFonts w:ascii="Times New Roman" w:hAnsi="Times New Roman"/>
            <w:b w:val="false"/>
            <w:i w:val="false"/>
            <w:color w:val="000000"/>
            <w:sz w:val="22"/>
          </w:rPr>
          <w:t>49.11(7)</w:t>
        </w:r>
      </w:hyperlink>
      <w:r>
        <w:rPr>
          <w:rFonts w:ascii="Times New Roman" w:hAnsi="Times New Roman"/>
          <w:b w:val="false"/>
          <w:i w:val="false"/>
          <w:color w:val="000000"/>
          <w:sz w:val="22"/>
        </w:rPr>
        <w:t xml:space="preserve">, the eligible taxpayer shall have 90 calendar days or until the end of the fiscal year, whichever is less, to purchase or lease the property, if applicable, and enter into an agreement with the authority. Nothing in these rules shall affect the authority’s ability to comply with the annual award limitations described in Iowa Code section </w:t>
      </w:r>
      <w:hyperlink r:id="rId51">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The authority shall not enter an agreement until it receives proof that the eligible taxpayer is the actual fee simple owner or has a binding qualified long-term lease that meets the requirements of the federal rehabilitation credit. An eligible taxpayer shall not be eligible for historic tax credits unless the eligible taxpayer enters into an agreement with the authority concerning the qualifying rehabilitation project and satisfies the terms and conditions that must be met to receive the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49.12(1)</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agreement shall contain mutually agreeable terms and conditions, which shall, at a minimum,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the tax credit award. Notwithstanding anything in this chapter to the contrary, no tax credit certificate shall be issued until the authority verifies the amount of final qualified rehabilitation expenditures and compliance with all other requirements of the agreement, Iowa Code chapter </w:t>
      </w:r>
      <w:hyperlink r:id="rId5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and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rehabilitation work to be performed. An eligible taxpayer shall perform the rehabilitation work consistent with the U.S. Secretary of the Interior’s standards for rehabilitation, as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budget of the qualified rehabilitation project. The budget should include projected qualified rehabilitation expenditures, and those expenditures not qualified, and allowable cost overruns. The amount of allowable cost overruns provided for in the agreement shall not exceed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qualified rehabilitation project with estimated final qualified rehabilitation expenditures of not more than $750,000, 15 percent of the projected qualified rehabilitation expenditures provided for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qualified rehabilitation project with estimated final qualified rehabilitation expenditures of more than $750,000 but not more than $6 million, 10 percent of the projected qualified rehabilitation expenditures provided for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qualified rehabilitation project with estimated final qualified rehabilitation expenditures of more than $6 million, 5 percent of the projected qualified rehabilitation expenditures provided for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all funding sources received or anticipated to be received that will be used to fund the project, including those funding sources used or that will be used to finance or reimburse both qualified rehabilitation expenditures and those expenditures not being claimed as qualified rehabilitation expenditures, along with supporting documentation. The schedule must identify all government funding as defined in rule </w:t>
      </w:r>
      <w:hyperlink r:id="rId53">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commencement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agreement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Such other terms, conditions, representations, and warranties as the authority may determine are necessary or desirable to protect the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49.12(2)</w:t>
      </w:r>
      <w:r>
        <w:rPr>
          <w:rFonts w:ascii="Times New Roman" w:hAnsi="Times New Roman"/>
          <w:b w:val="false"/>
          <w:i w:val="false"/>
          <w:color w:val="000000"/>
          <w:sz w:val="22"/>
        </w:rPr>
        <w:t> </w:t>
      </w:r>
      <w:r>
        <w:rPr>
          <w:rFonts w:ascii="Times New Roman" w:hAnsi="Times New Roman"/>
          <w:b w:val="false"/>
          <w:i/>
          <w:color w:val="000000"/>
          <w:sz w:val="22"/>
        </w:rPr>
        <w:t xml:space="preserve">Agreement timeline. </w:t>
      </w:r>
      <w:r>
        <w:rPr>
          <w:rFonts w:ascii="Times New Roman" w:hAnsi="Times New Roman"/>
          <w:b w:val="false"/>
          <w:i w:val="false"/>
          <w:color w:val="000000"/>
          <w:sz w:val="22"/>
        </w:rPr>
        <w:t>The commencement date indicated in the agreement shall be no later than the end of the fiscal year in which the agreement is entered into. The completion date indicated in the agreement shall be no later than 36 months from the commencement date. The agreement termination date indicated in the agreement shall not be earlier than five years from the date on which the tax credit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The authority may for good cause amend an agreement. However, the authority may not amend an agreement to allow cost overruns in excess of the amount described in paragraph </w:t>
      </w:r>
      <w:hyperlink r:id="rId54">
        <w:r>
          <w:rPr>
            <w:rStyle w:val="Hyperlink"/>
            <w:rFonts w:ascii="Times New Roman" w:hAnsi="Times New Roman"/>
            <w:b w:val="false"/>
            <w:i w:val="false"/>
            <w:color w:val="000000"/>
            <w:sz w:val="22"/>
          </w:rPr>
          <w:t>49.12(1)</w:t>
        </w:r>
      </w:hyperlink>
      <w:r>
        <w:rPr>
          <w:rFonts w:ascii="Times New Roman" w:hAnsi="Times New Roman"/>
          <w:b w:val="false"/>
          <w:i/>
          <w:color w:val="000000"/>
          <w:sz w:val="22"/>
        </w:rPr>
        <w:t>“c.”</w:t>
      </w:r>
      <w:r>
        <w:rPr>
          <w:rFonts w:ascii="Times New Roman" w:hAnsi="Times New Roman"/>
          <w:b w:val="false"/>
          <w:i w:val="false"/>
          <w:color w:val="000000"/>
          <w:sz w:val="22"/>
        </w:rPr>
        <w:t xml:space="preserve"> Any amendment approved by the authority shall be signed by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261—49.13</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3 application—request for certification of completed work and verification of qualified rehabilitation expenditures. </w:t>
      </w:r>
      <w:r>
        <w:rPr>
          <w:rFonts w:ascii="Times New Roman" w:hAnsi="Times New Roman"/>
          <w:b w:val="false"/>
          <w:i w:val="false"/>
          <w:color w:val="000000"/>
          <w:sz w:val="22"/>
        </w:rPr>
        <w:t>Part 3 of the application is used to determine whether the project has complied with the terms of the agreement as well as with applicable laws, rules and regulations, including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The fully completed Part 3 application must be submitted no more than 180 calendar days after the project completion date as defined in the agreement. The authority may extend this deadline under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Part 3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eligible taxpayer is the fee simple owner or is qualified for the federal rehabilitation credit and has a binding qualified long-term lease that meets the requirements of the federal rehabilitation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the qualified rehabilitation expenditures schedule form provided by the authority, a schedule of total expenditures for the project, which shall identify in detail the final qualified rehabilitation expenditures and those expenditures that are not qualified. The qualified rehabilitation expenditures schedules form may be obtained by contacting the authority or by visiting the authority’s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all funding sources used to finance the project, including those funding sources used to finance or reimburse both qualified rehabilitation expenditures and expenditures not being claimed as qualified rehabilitation expenditures, along with supporting documentation. The schedule must identify all government funding as defined in rule </w:t>
      </w:r>
      <w:hyperlink r:id="rId55">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eligible taxpayer shall engage a certified public accountant authorized to practice in this state to conduct an examination of the project in accordance with the American Institute of Certified Public Accountants’ statements on standards for attestation engagements. The attestation applicable to this examination is SSAE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 (as amended by SSAE Nos.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11, 12, 14), AT section 101 and AT section 601. Upon completion of the qualified rehabilitation project, the eligible taxpayer shall submit the examination to the authority, along with a statement of the amount of final qualified rehabilitation expenditures and any other information deemed necessary by the authority in order to verify that all requirements of the agreement, Iowa Code chapter </w:t>
      </w:r>
      <w:hyperlink r:id="rId5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5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used by the CPA to conduct the examination should allow the CPA to conclude that, in the CPA’s professional judgment, the qualified rehabilitation expenditures claimed are eligible pursuant to the agreement, Iowa Code chapter </w:t>
      </w:r>
      <w:hyperlink r:id="rId5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5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all material respects. The documents reviewed by the CPA should be readily available to the authority upon request. The applicant should generally be able to provide the requested documents within ten business days of a request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requirement is waived for an eligible taxpayer if the final qualified rehabilitation expenditures of the qualified rehabilitation project, as verified by the authority, do not exceed $100,000 and the qualified rehabilitation project is funded exclusively by private funding sources. The authority reserves the right to request any additional information necessary to verify the final qualified rehabilitation expenditures and, if deemed necessary by the authority, to require that such an eligible taxpayer engage a CPA to conduct an examination of the project pursuant to paragraph </w:t>
      </w:r>
      <w:hyperlink r:id="rId60">
        <w:r>
          <w:rPr>
            <w:rStyle w:val="Hyperlink"/>
            <w:rFonts w:ascii="Times New Roman" w:hAnsi="Times New Roman"/>
            <w:b w:val="false"/>
            <w:i w:val="false"/>
            <w:color w:val="000000"/>
            <w:sz w:val="22"/>
          </w:rPr>
          <w:t>49.13(2)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deemed necessary by the authority in order to verify that all requirements of the agreement, Iowa Code chapter </w:t>
      </w:r>
      <w:hyperlink r:id="rId6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6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 or any other information the authority may require for program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Election to receive either a refundable or a nonrefundable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49.13(3)</w:t>
      </w:r>
      <w:r>
        <w:rPr>
          <w:rFonts w:ascii="Times New Roman" w:hAnsi="Times New Roman"/>
          <w:b w:val="false"/>
          <w:i w:val="false"/>
          <w:color w:val="000000"/>
          <w:sz w:val="22"/>
        </w:rPr>
        <w:t> </w:t>
      </w:r>
      <w:r>
        <w:rPr>
          <w:rFonts w:ascii="Times New Roman" w:hAnsi="Times New Roman"/>
          <w:b w:val="false"/>
          <w:i/>
          <w:color w:val="000000"/>
          <w:sz w:val="22"/>
        </w:rPr>
        <w:t xml:space="preserve">Review period. </w:t>
      </w:r>
      <w:r>
        <w:rPr>
          <w:rFonts w:ascii="Times New Roman" w:hAnsi="Times New Roman"/>
          <w:b w:val="false"/>
          <w:i w:val="false"/>
          <w:color w:val="000000"/>
          <w:sz w:val="22"/>
        </w:rPr>
        <w:t xml:space="preserve">The authority will make best efforts to review Part 3 applications within 60 calendar days after the application is filed. However, this time frame is not binding upon the authority. The authority, in consultation with SHPO, shall review the information submitted by the eligible taxpayer and determine whether a tax credit certificate may be issued, including whether the eligible taxpayer has complied with federal standards.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261—49.14</w:t>
      </w:r>
      <w:r>
        <w:rPr>
          <w:rFonts w:ascii="Times New Roman" w:hAnsi="Times New Roman"/>
          <w:b/>
          <w:i w:val="false"/>
          <w:color w:val="000000"/>
          <w:sz w:val="22"/>
        </w:rPr>
        <w:t xml:space="preserve">(404A) </w:t>
      </w:r>
      <w:r>
        <w:rPr>
          <w:rFonts w:ascii="Times New Roman" w:hAnsi="Times New Roman"/>
          <w:b/>
          <w:i w:val="false"/>
          <w:color w:val="000000"/>
          <w:sz w:val="22"/>
        </w:rPr>
        <w:t xml:space="preserve">Fees. </w:t>
      </w:r>
      <w:r>
        <w:rPr>
          <w:rFonts w:ascii="Times New Roman" w:hAnsi="Times New Roman"/>
          <w:b w:val="false"/>
          <w:i w:val="false"/>
          <w:color w:val="000000"/>
          <w:sz w:val="22"/>
        </w:rPr>
        <w:t>Applicants must pay a nonrefundable fee for the processing of Parts 2 and 3 of an application. The review fee for Part 2 will be due with the filing of the Part 2 application and will be based on the estimated qualified rehabilitation costs. The fee for review of Part 3 will be due with the filing of the Part 3 application and will be based on the final qualified rehabilitation expenditures. The fee schedule is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94"/>
        <w:gridCol w:w="3648"/>
        <w:gridCol w:w="3878"/>
      </w:tblGrid>
      <w:tr>
        <w:trPr>
          <w:trHeight w:val="585" w:hRule="atLeast"/>
        </w:trPr>
        <w:tc>
          <w:tcPr>
            <w:tcW w:w="3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projects with </w:t>
            </w:r>
            <w:r>
              <w:br/>
            </w:r>
            <w:r>
              <w:rPr>
                <w:rFonts w:ascii="Times New Roman" w:hAnsi="Times New Roman"/>
                <w:b w:val="false"/>
                <w:i w:val="false"/>
                <w:color w:val="000000"/>
                <w:sz w:val="16"/>
              </w:rPr>
              <w:t>qualified rehabilitation</w:t>
            </w:r>
            <w:r>
              <w:br/>
            </w:r>
            <w:r>
              <w:rPr>
                <w:rFonts w:ascii="Times New Roman" w:hAnsi="Times New Roman"/>
                <w:b w:val="false"/>
                <w:i w:val="false"/>
                <w:color w:val="000000"/>
                <w:sz w:val="16"/>
              </w:rPr>
              <w:t xml:space="preserve"> expenditures of:</w:t>
            </w:r>
          </w:p>
        </w:tc>
        <w:tc>
          <w:tcPr>
            <w:tcW w:w="3648"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Part 2 Processing Fee</w:t>
            </w:r>
          </w:p>
        </w:tc>
        <w:tc>
          <w:tcPr>
            <w:tcW w:w="3878"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Part 3 Processing Fee</w:t>
            </w:r>
          </w:p>
        </w:tc>
      </w:tr>
      <w:tr>
        <w:trPr>
          <w:trHeight w:val="225" w:hRule="atLeast"/>
        </w:trPr>
        <w:tc>
          <w:tcPr>
            <w:tcW w:w="3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$50,000 or less</w:t>
            </w:r>
          </w:p>
        </w:tc>
        <w:tc>
          <w:tcPr>
            <w:tcW w:w="36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cost</w:t>
            </w:r>
          </w:p>
        </w:tc>
        <w:tc>
          <w:tcPr>
            <w:tcW w:w="387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cost</w:t>
            </w:r>
          </w:p>
        </w:tc>
      </w:tr>
      <w:tr>
        <w:trPr>
          <w:trHeight w:val="225" w:hRule="atLeast"/>
        </w:trPr>
        <w:tc>
          <w:tcPr>
            <w:tcW w:w="3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$50,001 to $100,000</w:t>
            </w:r>
          </w:p>
        </w:tc>
        <w:tc>
          <w:tcPr>
            <w:tcW w:w="36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c>
          <w:tcPr>
            <w:tcW w:w="387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225" w:hRule="atLeast"/>
        </w:trPr>
        <w:tc>
          <w:tcPr>
            <w:tcW w:w="39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$100,001 to $750,000</w:t>
            </w:r>
          </w:p>
        </w:tc>
        <w:tc>
          <w:tcPr>
            <w:tcW w:w="364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w:t>
            </w:r>
          </w:p>
        </w:tc>
        <w:tc>
          <w:tcPr>
            <w:tcW w:w="387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w:t>
            </w:r>
          </w:p>
        </w:tc>
      </w:tr>
      <w:tr>
        <w:trPr>
          <w:trHeight w:val="585" w:hRule="atLeast"/>
        </w:trPr>
        <w:tc>
          <w:tcPr>
            <w:tcW w:w="3994"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$750,001 to $6,000,000</w:t>
            </w:r>
          </w:p>
        </w:tc>
        <w:tc>
          <w:tcPr>
            <w:tcW w:w="3648"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$1,000</w:t>
            </w:r>
          </w:p>
        </w:tc>
        <w:tc>
          <w:tcPr>
            <w:tcW w:w="3878"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0.5 percent of final </w:t>
            </w:r>
            <w:r>
              <w:br/>
            </w:r>
            <w:r>
              <w:rPr>
                <w:rFonts w:ascii="Times New Roman" w:hAnsi="Times New Roman"/>
                <w:b w:val="false"/>
                <w:i w:val="false"/>
                <w:color w:val="000000"/>
                <w:sz w:val="16"/>
              </w:rPr>
              <w:t>qualified rehabilitation</w:t>
            </w:r>
            <w:r>
              <w:br/>
            </w:r>
            <w:r>
              <w:rPr>
                <w:rFonts w:ascii="Times New Roman" w:hAnsi="Times New Roman"/>
                <w:b w:val="false"/>
                <w:i w:val="false"/>
                <w:color w:val="000000"/>
                <w:sz w:val="16"/>
              </w:rPr>
              <w:t xml:space="preserve"> expenditures</w:t>
            </w:r>
          </w:p>
        </w:tc>
      </w:tr>
      <w:tr>
        <w:trPr>
          <w:trHeight w:val="225" w:hRule="atLeast"/>
        </w:trPr>
        <w:tc>
          <w:tcPr>
            <w:tcW w:w="3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 $6,000,000</w:t>
            </w:r>
          </w:p>
        </w:tc>
        <w:tc>
          <w:tcPr>
            <w:tcW w:w="36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w:t>
            </w:r>
          </w:p>
        </w:tc>
        <w:tc>
          <w:tcPr>
            <w:tcW w:w="38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261—49.15</w:t>
      </w:r>
      <w:r>
        <w:rPr>
          <w:rFonts w:ascii="Times New Roman" w:hAnsi="Times New Roman"/>
          <w:b/>
          <w:i w:val="false"/>
          <w:color w:val="000000"/>
          <w:sz w:val="22"/>
        </w:rPr>
        <w:t xml:space="preserve">(404A)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49.15(1)</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 xml:space="preserve">The eligible taxpayer shall, for the length of the agreement, annually certify to the authority compliance with the requirements of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eligible taxpayer shall have the burden of proof to demonstrate to the authority that all requirements of the agreement, Iowa Code chapter </w:t>
      </w:r>
      <w:hyperlink r:id="rId6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and the applicable rules are satisfied. The taxpayer shall notify the authority in a timely manner of any changes in the qualification of the rehabilitation project or in the eligibility of the taxpayer to claim the tax credit provided under this chapter, or of any other change that may have a negative impact on the eligible taxpayer’s ability to successfully complete any requirement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49.15(3)</w:t>
      </w:r>
      <w:r>
        <w:rPr>
          <w:rFonts w:ascii="Times New Roman" w:hAnsi="Times New Roman"/>
          <w:b w:val="false"/>
          <w:i w:val="false"/>
          <w:color w:val="000000"/>
          <w:sz w:val="22"/>
        </w:rPr>
        <w:t> </w:t>
      </w:r>
      <w:r>
        <w:rPr>
          <w:rFonts w:ascii="Times New Roman" w:hAnsi="Times New Roman"/>
          <w:b w:val="false"/>
          <w:i/>
          <w:color w:val="000000"/>
          <w:sz w:val="22"/>
        </w:rPr>
        <w:t xml:space="preserve">Events of default, revocation, recapture. </w:t>
      </w:r>
      <w:r>
        <w:rPr>
          <w:rFonts w:ascii="Times New Roman" w:hAnsi="Times New Roman"/>
          <w:b w:val="false"/>
          <w:i w:val="false"/>
          <w:color w:val="000000"/>
          <w:sz w:val="22"/>
        </w:rPr>
        <w:t xml:space="preserve">If, after entering into the agreement but before a tax credit certificate is issued, the eligible taxpayer or the qualified rehabilitation project no longer meets the requirements of the agreement, Iowa Code chapter </w:t>
      </w:r>
      <w:hyperlink r:id="rId6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and the applicable rules, the authority may find the taxpayer in default and may revoke the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Voluntary abandonment. </w:t>
      </w:r>
      <w:r>
        <w:rPr>
          <w:rFonts w:ascii="Times New Roman" w:hAnsi="Times New Roman"/>
          <w:b w:val="false"/>
          <w:i w:val="false"/>
          <w:color w:val="000000"/>
          <w:sz w:val="22"/>
        </w:rPr>
        <w:t xml:space="preserve">To irrevocably decline the tax credit, the applicant shall send a letter to the authority stating the applicant’s decision to irrevocably decline the tax credit. The authority shall acknowledge, in writing, that the tax credit has been irrevocably declined. The tax credit shall be reallocated to the extent permitted by Iowa Code section </w:t>
      </w:r>
      <w:hyperlink r:id="rId65">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If the applicant wishes to apply for a tax credit on the same qualified rehabilitation project at a later date, the applicant must complete the application process as though the project is a new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Revocation and recapture for prohibited activity; liability of certain transferees. </w:t>
      </w:r>
      <w:r>
        <w:rPr>
          <w:rFonts w:ascii="Times New Roman" w:hAnsi="Times New Roman"/>
          <w:b w:val="false"/>
          <w:i w:val="false"/>
          <w:color w:val="000000"/>
          <w:sz w:val="22"/>
        </w:rPr>
        <w:t xml:space="preserve">Pursuant to Iowa Code section </w:t>
      </w:r>
      <w:hyperlink r:id="rId66">
        <w:r>
          <w:rPr>
            <w:rStyle w:val="Hyperlink"/>
            <w:rFonts w:ascii="Times New Roman" w:hAnsi="Times New Roman"/>
            <w:b w:val="false"/>
            <w:i w:val="false"/>
            <w:color w:val="000000"/>
            <w:sz w:val="22"/>
          </w:rPr>
          <w:t>404A.3(4)</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an eligible taxpayer obtains a tax credit certificate from the authority by way of a prohibited activity, the eligible taxpayer and any transferee shall be jointly and severally liable to the state for the amount of the tax credits so issued, interest and penalties allowed under Iowa Code chapter </w:t>
      </w:r>
      <w:hyperlink r:id="rId6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and reasonable attorney fees and litigation costs, except that the liability of the transferee shall not exceed an amount equal to the amount of the tax credits acquired by the transferee.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261—49.16</w:t>
      </w:r>
      <w:r>
        <w:rPr>
          <w:rFonts w:ascii="Times New Roman" w:hAnsi="Times New Roman"/>
          <w:b/>
          <w:i w:val="false"/>
          <w:color w:val="000000"/>
          <w:sz w:val="22"/>
        </w:rPr>
        <w:t xml:space="preserve">(404A) </w:t>
      </w:r>
      <w:r>
        <w:rPr>
          <w:rFonts w:ascii="Times New Roman" w:hAnsi="Times New Roman"/>
          <w:b/>
          <w:i w:val="false"/>
          <w:color w:val="000000"/>
          <w:sz w:val="22"/>
        </w:rPr>
        <w:t xml:space="preserve">Certificate issuance; claiming the tax credit. </w:t>
      </w:r>
      <w:r>
        <w:rPr>
          <w:rFonts w:ascii="Times New Roman" w:hAnsi="Times New Roman"/>
          <w:b w:val="false"/>
          <w:i w:val="false"/>
          <w:color w:val="000000"/>
          <w:sz w:val="22"/>
        </w:rPr>
        <w:t xml:space="preserve">After determining whether the terms of the agreement, Iowa Code chapter </w:t>
      </w:r>
      <w:hyperlink r:id="rId6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the applicable rules have been met, the authority shall issue a tax credit certificate to the eligible taxpayer stating the amount of tax credit under Iowa Code section </w:t>
      </w:r>
      <w:hyperlink r:id="rId69">
        <w:r>
          <w:rPr>
            <w:rStyle w:val="Hyperlink"/>
            <w:rFonts w:ascii="Times New Roman" w:hAnsi="Times New Roman"/>
            <w:b w:val="false"/>
            <w:i w:val="false"/>
            <w:color w:val="000000"/>
            <w:sz w:val="22"/>
          </w:rPr>
          <w:t>404A.2</w:t>
        </w:r>
      </w:hyperlink>
      <w:r>
        <w:rPr>
          <w:rFonts w:ascii="Times New Roman" w:hAnsi="Times New Roman"/>
          <w:b w:val="false"/>
          <w:i w:val="false"/>
          <w:color w:val="000000"/>
          <w:sz w:val="22"/>
        </w:rPr>
        <w:t xml:space="preserve"> the eligible taxpayer may claim, or the authority shall issue a notice that the eligible taxpayer is not eligible to receive a tax credit certificate. To receive the tax credit, an eligible taxpayer shall file a claim in accordance with any applicable administrative rules adopted by the department of revenue. Notwithstanding the foregoing, the eligibility of the tax credit remains subject to audit by the department of revenue in accordance with Iowa Code chapters </w:t>
      </w:r>
      <w:hyperlink r:id="rId70">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261—49.17</w:t>
      </w:r>
      <w:r>
        <w:rPr>
          <w:rFonts w:ascii="Times New Roman" w:hAnsi="Times New Roman"/>
          <w:b/>
          <w:i w:val="false"/>
          <w:color w:val="000000"/>
          <w:sz w:val="22"/>
        </w:rPr>
        <w:t xml:space="preserve">(303,404A)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Appeals will be governed by Iowa Code sections </w:t>
      </w:r>
      <w:hyperlink r:id="rId72">
        <w:r>
          <w:rPr>
            <w:rStyle w:val="Hyperlink"/>
            <w:rFonts w:ascii="Times New Roman" w:hAnsi="Times New Roman"/>
            <w:b w:val="false"/>
            <w:i w:val="false"/>
            <w:color w:val="000000"/>
            <w:sz w:val="22"/>
          </w:rPr>
          <w:t>17A.10 to 17A.19</w:t>
        </w:r>
      </w:hyperlink>
      <w:r>
        <w:rPr>
          <w:rFonts w:ascii="Times New Roman" w:hAnsi="Times New Roman"/>
          <w:b w:val="false"/>
          <w:i w:val="false"/>
          <w:color w:val="000000"/>
          <w:sz w:val="22"/>
        </w:rPr>
        <w:t xml:space="preserve">. Challenges to an action by the department of revenue related to tax credit transfers, claiming of tax credits, tax credit revocation, or repayment or recovery of tax credits must be brought pursuant to department of revenue </w:t>
      </w:r>
      <w:hyperlink r:id="rId73">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2944C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 xml:space="preserve">; </w:t>
      </w:r>
      <w:r>
        <w:rPr>
          <w:rFonts w:ascii="Times New Roman" w:hAnsi="Times New Roman"/>
          <w:b/>
          <w:i w:val="false"/>
          <w:color w:val="000000"/>
          <w:sz w:val="16"/>
        </w:rPr>
        <w:t>ARC 6728C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2944C</w:t>
      </w:r>
      <w:r>
        <w:rPr>
          <w:rFonts w:ascii="Times New Roman" w:hAnsi="Times New Roman"/>
          <w:b w:val="false"/>
          <w:i w:val="false"/>
          <w:color w:val="000000"/>
          <w:sz w:val="21"/>
        </w:rPr>
        <w:t xml:space="preserve"> (Notice ARC 2774C, IAB 10/12/16)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6728C</w:t>
      </w:r>
      <w:r>
        <w:rPr>
          <w:rFonts w:ascii="Times New Roman" w:hAnsi="Times New Roman"/>
          <w:b w:val="false"/>
          <w:i w:val="false"/>
          <w:color w:val="000000"/>
          <w:sz w:val="21"/>
        </w:rPr>
        <w:t xml:space="preserve"> (Notice ARC 6546C, IAB 9/21/22)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3.pdf" Type="http://schemas.openxmlformats.org/officeDocument/2006/relationships/hyperlink" Id="rId5"/>
    <Relationship TargetMode="External" Target="https://www.legis.iowa.gov/docs/ico/chapter/404A.pdf" Type="http://schemas.openxmlformats.org/officeDocument/2006/relationships/hyperlink" Id="rId6"/>
    <Relationship TargetMode="External" Target="https://www.legis.iowa.gov/docs/iac/chapter/223.48.pdf" Type="http://schemas.openxmlformats.org/officeDocument/2006/relationships/hyperlink" Id="rId7"/>
    <Relationship TargetMode="External" Target="https://www.legis.iowa.gov/docs/iac/rule/701.304.19.pdf" Type="http://schemas.openxmlformats.org/officeDocument/2006/relationships/hyperlink" Id="rId8"/>
    <Relationship TargetMode="External" Target="https://www.legis.iowa.gov/docs/iac/rule/701.304.55.pdf" Type="http://schemas.openxmlformats.org/officeDocument/2006/relationships/hyperlink" Id="rId9"/>
    <Relationship TargetMode="External" Target="https://www.legis.iowa.gov/docs/iac/rule/701.501.48.pdf" Type="http://schemas.openxmlformats.org/officeDocument/2006/relationships/hyperlink" Id="rId10"/>
    <Relationship TargetMode="External" Target="https://www.legis.iowa.gov/docs/iac/rule/701.601.10.pdf" Type="http://schemas.openxmlformats.org/officeDocument/2006/relationships/hyperlink" Id="rId11"/>
    <Relationship TargetMode="External" Target="https://www.legis.iowa.gov/docs/ico/chapter/404A.pdf" Type="http://schemas.openxmlformats.org/officeDocument/2006/relationships/hyperlink" Id="rId12"/>
    <Relationship TargetMode="External" Target="https://www.legis.iowa.gov/docs/iac/chapter/261.49.pdf" Type="http://schemas.openxmlformats.org/officeDocument/2006/relationships/hyperlink" Id="rId13"/>
    <Relationship TargetMode="External" Target="https://www.legis.iowa.gov/docs/ico/chapter/404A.3.pdf" Type="http://schemas.openxmlformats.org/officeDocument/2006/relationships/hyperlink" Id="rId14"/>
    <Relationship TargetMode="External" Target="https://www.legis.iowa.gov/docs/iac/rule/261.49.12.pdf" Type="http://schemas.openxmlformats.org/officeDocument/2006/relationships/hyperlink" Id="rId15"/>
    <Relationship TargetMode="External" Target="https://www.legis.iowa.gov/docs/iac/rule/261.49.9.pdf" Type="http://schemas.openxmlformats.org/officeDocument/2006/relationships/hyperlink" Id="rId16"/>
    <Relationship TargetMode="External" Target="https://www.iowaeda.com" Type="http://schemas.openxmlformats.org/officeDocument/2006/relationships/hyperlink" Id="rId17"/>
    <Relationship TargetMode="External" Target="https://www.legis.iowa.gov/docs/ico/chapter/404A.3.pdf" Type="http://schemas.openxmlformats.org/officeDocument/2006/relationships/hyperlink" Id="rId18"/>
    <Relationship TargetMode="External" Target="https://www.legis.iowa.gov/docs/iac/rule/701.102.1.pdf" Type="http://schemas.openxmlformats.org/officeDocument/2006/relationships/hyperlink" Id="rId19"/>
    <Relationship TargetMode="External" Target="https://www.legis.iowa.gov/docs/iac/rule/701.106.1.pdf" Type="http://schemas.openxmlformats.org/officeDocument/2006/relationships/hyperlink" Id="rId20"/>
    <Relationship TargetMode="External" Target="https://www.legis.iowa.gov/docs/iac/rule/701.107.1.pdf" Type="http://schemas.openxmlformats.org/officeDocument/2006/relationships/hyperlink" Id="rId21"/>
    <Relationship TargetMode="External" Target="https://www.legis.iowa.gov/docs/iac/rule/701.102.1.pdf" Type="http://schemas.openxmlformats.org/officeDocument/2006/relationships/hyperlink" Id="rId22"/>
    <Relationship TargetMode="External" Target="https://www.legis.iowa.gov/docs/iac/rule/223.35.2.pdf" Type="http://schemas.openxmlformats.org/officeDocument/2006/relationships/hyperlink" Id="rId23"/>
    <Relationship TargetMode="External" Target="https://www.legis.iowa.gov/docs/ico/chapter/362.2.pdf" Type="http://schemas.openxmlformats.org/officeDocument/2006/relationships/hyperlink" Id="rId24"/>
    <Relationship TargetMode="External" Target="https://www.legis.iowa.gov/docs/iac/rule/261.49.4.pdf" Type="http://schemas.openxmlformats.org/officeDocument/2006/relationships/hyperlink" Id="rId25"/>
    <Relationship TargetMode="External" Target="https://www.legis.iowa.gov/docs/ico/chapter/404A.pdf" Type="http://schemas.openxmlformats.org/officeDocument/2006/relationships/hyperlink" Id="rId26"/>
    <Relationship TargetMode="External" Target="https://www.legis.iowa.gov/docs/iac/rule/261.49.3.pdf" Type="http://schemas.openxmlformats.org/officeDocument/2006/relationships/hyperlink" Id="rId27"/>
    <Relationship TargetMode="External" Target="https://www.legis.iowa.gov/docs/ico/chapter/404A.3.pdf" Type="http://schemas.openxmlformats.org/officeDocument/2006/relationships/hyperlink" Id="rId28"/>
    <Relationship TargetMode="External" Target="https://www.legis.iowa.gov/docs/ico/chapter/404A.3.pdf" Type="http://schemas.openxmlformats.org/officeDocument/2006/relationships/hyperlink" Id="rId29"/>
    <Relationship TargetMode="External" Target="https://www.legis.iowa.gov/docs/ico/chapter/404A.pdf" Type="http://schemas.openxmlformats.org/officeDocument/2006/relationships/hyperlink" Id="rId30"/>
    <Relationship TargetMode="External" Target="https://www.legis.iowa.gov/docs/ico/chapter/404A.3.pdf" Type="http://schemas.openxmlformats.org/officeDocument/2006/relationships/hyperlink" Id="rId31"/>
    <Relationship TargetMode="External" Target="https://www.legis.iowa.gov/docs/ico/chapter/404A.4.pdf" Type="http://schemas.openxmlformats.org/officeDocument/2006/relationships/hyperlink" Id="rId32"/>
    <Relationship TargetMode="External" Target="https://www.legis.iowa.gov/docs/iac/rule/261.49.12.pdf" Type="http://schemas.openxmlformats.org/officeDocument/2006/relationships/hyperlink" Id="rId33"/>
    <Relationship TargetMode="External" Target="https://www.legis.iowa.gov/docs/iac/rule/261.49.11.pdf" Type="http://schemas.openxmlformats.org/officeDocument/2006/relationships/hyperlink" Id="rId34"/>
    <Relationship TargetMode="External" Target="https://www.legis.iowa.gov/docs/ico/chapter/404A.4.pdf" Type="http://schemas.openxmlformats.org/officeDocument/2006/relationships/hyperlink" Id="rId35"/>
    <Relationship TargetMode="External" Target="https://www.legis.iowa.gov/docs/ico/chapter/404A.4.pdf" Type="http://schemas.openxmlformats.org/officeDocument/2006/relationships/hyperlink" Id="rId36"/>
    <Relationship TargetMode="External" Target="https://www.legis.iowa.gov/docs/iac/rule/261.49.12.pdf" Type="http://schemas.openxmlformats.org/officeDocument/2006/relationships/hyperlink" Id="rId37"/>
    <Relationship TargetMode="External" Target="https://www.legis.iowa.gov/docs/iac/rule/261.49.12.pdf" Type="http://schemas.openxmlformats.org/officeDocument/2006/relationships/hyperlink" Id="rId38"/>
    <Relationship TargetMode="External" Target="https://www.legis.iowa.gov/docs/iac/rule/261.49.3.pdf" Type="http://schemas.openxmlformats.org/officeDocument/2006/relationships/hyperlink" Id="rId39"/>
    <Relationship TargetMode="External" Target="https://www.legis.iowa.gov/docs/iac/rule/261.49.3.pdf" Type="http://schemas.openxmlformats.org/officeDocument/2006/relationships/hyperlink" Id="rId40"/>
    <Relationship TargetMode="External" Target="https://www.legis.iowa.gov/docs/iac/rule/261.49.12.pdf" Type="http://schemas.openxmlformats.org/officeDocument/2006/relationships/hyperlink" Id="rId41"/>
    <Relationship TargetMode="External" Target="https://www.legis.iowa.gov/docs/ico/chapter/362.2.pdf" Type="http://schemas.openxmlformats.org/officeDocument/2006/relationships/hyperlink" Id="rId42"/>
    <Relationship TargetMode="External" Target="https://www.legis.iowa.gov/docs/iac/chapter/223.48.pdf" Type="http://schemas.openxmlformats.org/officeDocument/2006/relationships/hyperlink" Id="rId43"/>
    <Relationship TargetMode="External" Target="https://www.legis.iowa.gov/docs/iac/rule/261.49.3.pdf" Type="http://schemas.openxmlformats.org/officeDocument/2006/relationships/hyperlink" Id="rId44"/>
    <Relationship TargetMode="External" Target="https://www.legis.iowa.gov/docs/iac/rule/261.49.11.pdf" Type="http://schemas.openxmlformats.org/officeDocument/2006/relationships/hyperlink" Id="rId45"/>
    <Relationship TargetMode="External" Target="https://www.legis.iowa.gov/docs/iac/rule/261.49.3.pdf" Type="http://schemas.openxmlformats.org/officeDocument/2006/relationships/hyperlink" Id="rId46"/>
    <Relationship TargetMode="External" Target="https://www.legis.iowa.gov/docs/iac/rule/261.49.3.pdf" Type="http://schemas.openxmlformats.org/officeDocument/2006/relationships/hyperlink" Id="rId47"/>
    <Relationship TargetMode="External" Target="https://www.legis.iowa.gov/docs/iac/rule/261.49.6.pdf" Type="http://schemas.openxmlformats.org/officeDocument/2006/relationships/hyperlink" Id="rId48"/>
    <Relationship TargetMode="External" Target="https://www.legis.iowa.gov/docs/iac/rule/261.49.11.pdf" Type="http://schemas.openxmlformats.org/officeDocument/2006/relationships/hyperlink" Id="rId49"/>
    <Relationship TargetMode="External" Target="https://www.legis.iowa.gov/docs/iac/rule/261.49.11.pdf" Type="http://schemas.openxmlformats.org/officeDocument/2006/relationships/hyperlink" Id="rId50"/>
    <Relationship TargetMode="External" Target="https://www.legis.iowa.gov/docs/ico/chapter/404A.4.pdf" Type="http://schemas.openxmlformats.org/officeDocument/2006/relationships/hyperlink" Id="rId51"/>
    <Relationship TargetMode="External" Target="https://www.legis.iowa.gov/docs/ico/chapter/404A.pdf" Type="http://schemas.openxmlformats.org/officeDocument/2006/relationships/hyperlink" Id="rId52"/>
    <Relationship TargetMode="External" Target="https://www.legis.iowa.gov/docs/iac/rule/261.49.3.pdf" Type="http://schemas.openxmlformats.org/officeDocument/2006/relationships/hyperlink" Id="rId53"/>
    <Relationship TargetMode="External" Target="https://www.legis.iowa.gov/docs/iac/rule/261.49.12.pdf" Type="http://schemas.openxmlformats.org/officeDocument/2006/relationships/hyperlink" Id="rId54"/>
    <Relationship TargetMode="External" Target="https://www.legis.iowa.gov/docs/iac/rule/261.49.3.pdf" Type="http://schemas.openxmlformats.org/officeDocument/2006/relationships/hyperlink" Id="rId55"/>
    <Relationship TargetMode="External" Target="https://www.legis.iowa.gov/docs/ico/chapter/404A.pdf" Type="http://schemas.openxmlformats.org/officeDocument/2006/relationships/hyperlink" Id="rId56"/>
    <Relationship TargetMode="External" Target="https://www.legis.iowa.gov/docs/ico/chapter/404A.pdf" Type="http://schemas.openxmlformats.org/officeDocument/2006/relationships/hyperlink" Id="rId57"/>
    <Relationship TargetMode="External" Target="https://www.legis.iowa.gov/docs/ico/chapter/404A.pdf" Type="http://schemas.openxmlformats.org/officeDocument/2006/relationships/hyperlink" Id="rId58"/>
    <Relationship TargetMode="External" Target="https://www.legis.iowa.gov/docs/ico/chapter/404A.pdf" Type="http://schemas.openxmlformats.org/officeDocument/2006/relationships/hyperlink" Id="rId59"/>
    <Relationship TargetMode="External" Target="https://www.legis.iowa.gov/docs/iac/rule/261.49.13.pdf" Type="http://schemas.openxmlformats.org/officeDocument/2006/relationships/hyperlink" Id="rId60"/>
    <Relationship TargetMode="External" Target="https://www.legis.iowa.gov/docs/ico/chapter/404A.pdf" Type="http://schemas.openxmlformats.org/officeDocument/2006/relationships/hyperlink" Id="rId61"/>
    <Relationship TargetMode="External" Target="https://www.legis.iowa.gov/docs/ico/chapter/404A.pdf" Type="http://schemas.openxmlformats.org/officeDocument/2006/relationships/hyperlink" Id="rId62"/>
    <Relationship TargetMode="External" Target="https://www.legis.iowa.gov/docs/ico/chapter/404A.pdf" Type="http://schemas.openxmlformats.org/officeDocument/2006/relationships/hyperlink" Id="rId63"/>
    <Relationship TargetMode="External" Target="https://www.legis.iowa.gov/docs/ico/chapter/404A.pdf" Type="http://schemas.openxmlformats.org/officeDocument/2006/relationships/hyperlink" Id="rId64"/>
    <Relationship TargetMode="External" Target="https://www.legis.iowa.gov/docs/ico/chapter/404A.4.pdf" Type="http://schemas.openxmlformats.org/officeDocument/2006/relationships/hyperlink" Id="rId65"/>
    <Relationship TargetMode="External" Target="https://www.legis.iowa.gov/docs/ico/chapter/404A.3.pdf" Type="http://schemas.openxmlformats.org/officeDocument/2006/relationships/hyperlink" Id="rId66"/>
    <Relationship TargetMode="External" Target="https://www.legis.iowa.gov/docs/ico/chapter/422.pdf" Type="http://schemas.openxmlformats.org/officeDocument/2006/relationships/hyperlink" Id="rId67"/>
    <Relationship TargetMode="External" Target="https://www.legis.iowa.gov/docs/ico/chapter/404A.pdf" Type="http://schemas.openxmlformats.org/officeDocument/2006/relationships/hyperlink" Id="rId68"/>
    <Relationship TargetMode="External" Target="https://www.legis.iowa.gov/docs/ico/chapter/404A.2.pdf" Type="http://schemas.openxmlformats.org/officeDocument/2006/relationships/hyperlink" Id="rId69"/>
    <Relationship TargetMode="External" Target="https://www.legis.iowa.gov/docs/ico/chapter/421.pdf" Type="http://schemas.openxmlformats.org/officeDocument/2006/relationships/hyperlink" Id="rId70"/>
    <Relationship TargetMode="External" Target="https://www.legis.iowa.gov/docs/ico/chapter/422.pdf" Type="http://schemas.openxmlformats.org/officeDocument/2006/relationships/hyperlink" Id="rId71"/>
    <Relationship TargetMode="External" Target="https://www.legis.iowa.gov/docs/ico/chapter/17A.10-19.pdf" Type="http://schemas.openxmlformats.org/officeDocument/2006/relationships/hyperlink" Id="rId72"/>
    <Relationship TargetMode="External" Target="https://www.legis.iowa.gov/docs/iac/chapter/701.7.pdf" Type="http://schemas.openxmlformats.org/officeDocument/2006/relationships/hyperlink" Id="rId73"/>
    <Relationship TargetMode="External" Target="https://www.legis.iowa.gov/docs/ico/chapter/404A.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