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48</w:t>
      </w:r>
    </w:p>
    <w:p>
      <w:pPr>
        <w:spacing w:before="0" w:after="0"/>
        <w:ind w:left="120"/>
        <w:jc w:val="center"/>
      </w:pPr>
      <w:r>
        <w:rPr>
          <w:rFonts w:ascii="Times New Roman" w:hAnsi="Times New Roman"/>
          <w:b w:val="false"/>
          <w:i w:val="false"/>
          <w:color w:val="000000"/>
          <w:sz w:val="21"/>
        </w:rPr>
        <w:t>WORKFORCE HOUSING TAX INCENTIVES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261—48.1</w:t>
      </w:r>
      <w:r>
        <w:rPr>
          <w:rFonts w:ascii="Times New Roman" w:hAnsi="Times New Roman"/>
          <w:b/>
          <w:i w:val="false"/>
          <w:color w:val="000000"/>
          <w:sz w:val="22"/>
        </w:rPr>
        <w:t xml:space="preserve">(15) </w:t>
      </w:r>
      <w:r>
        <w:rPr>
          <w:rFonts w:ascii="Times New Roman" w:hAnsi="Times New Roman"/>
          <w:b/>
          <w:i w:val="false"/>
          <w:color w:val="000000"/>
          <w:sz w:val="22"/>
        </w:rPr>
        <w:t xml:space="preserve">Authority and purpose. </w:t>
      </w:r>
      <w:r>
        <w:rPr>
          <w:rFonts w:ascii="Times New Roman" w:hAnsi="Times New Roman"/>
          <w:b w:val="false"/>
          <w:i w:val="false"/>
          <w:color w:val="000000"/>
          <w:sz w:val="22"/>
        </w:rPr>
        <w:t xml:space="preserve">The workforce housing tax incentives program is administered pursuant to Iowa Code sections </w:t>
      </w:r>
      <w:hyperlink r:id="rId5">
        <w:r>
          <w:rPr>
            <w:rStyle w:val="Hyperlink"/>
            <w:rFonts w:ascii="Times New Roman" w:hAnsi="Times New Roman"/>
            <w:b w:val="false"/>
            <w:i w:val="false"/>
            <w:color w:val="000000"/>
            <w:sz w:val="22"/>
          </w:rPr>
          <w:t>15.351 through 15.356</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2022 Iowa Acts, Senate File 2325</w:t>
      </w:r>
      <w:r>
        <w:rPr>
          <w:rFonts w:ascii="Times New Roman" w:hAnsi="Times New Roman"/>
          <w:b w:val="false"/>
          <w:i w:val="false"/>
          <w:color w:val="000000"/>
          <w:sz w:val="22"/>
        </w:rPr>
        <w:t>, sections 7 through 13. The purpose of the program is to assist the development of workforce housing in Iowa communities by providing incentives for housing projects that are targeted at middle-income households and that focus on the redevelopment or repurposing of existing structures.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1801C</w:t>
      </w:r>
      <w:r>
        <w:rPr>
          <w:rFonts w:ascii="Times New Roman" w:hAnsi="Times New Roman"/>
          <w:b w:val="false"/>
          <w:i w:val="false"/>
          <w:color w:val="000000"/>
          <w:sz w:val="16"/>
        </w:rPr>
        <w:t>, IAB 12/24/14, effective 1/28/15</w:t>
      </w:r>
      <w:r>
        <w:rPr>
          <w:rFonts w:ascii="Times New Roman" w:hAnsi="Times New Roman"/>
          <w:b w:val="false"/>
          <w:i w:val="false"/>
          <w:color w:val="000000"/>
          <w:sz w:val="16"/>
        </w:rPr>
        <w:t xml:space="preserve">; </w:t>
      </w:r>
      <w:r>
        <w:rPr>
          <w:rFonts w:ascii="Times New Roman" w:hAnsi="Times New Roman"/>
          <w:b/>
          <w:i w:val="false"/>
          <w:color w:val="000000"/>
          <w:sz w:val="16"/>
        </w:rPr>
        <w:t>ARC 6467C</w:t>
      </w:r>
      <w:r>
        <w:rPr>
          <w:rFonts w:ascii="Times New Roman" w:hAnsi="Times New Roman"/>
          <w:b w:val="false"/>
          <w:i w:val="false"/>
          <w:color w:val="000000"/>
          <w:sz w:val="16"/>
        </w:rPr>
        <w:t>, IAB 8/24/22, effective 9/28/22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261—48.2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dwelling unit cost” </w:t>
      </w:r>
      <w:r>
        <w:rPr>
          <w:rFonts w:ascii="Times New Roman" w:hAnsi="Times New Roman"/>
          <w:b w:val="false"/>
          <w:i w:val="false"/>
          <w:color w:val="000000"/>
          <w:sz w:val="22"/>
        </w:rPr>
        <w:t>means the costs directly related to the housing project divided by the total number of dwelling units in the housing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economic development authority appointed by the governor and in whom the powers of the authority are vested pursuant to Iowa Code section </w:t>
      </w:r>
      <w:hyperlink r:id="rId7">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“Brownfield site” </w:t>
      </w:r>
      <w:r>
        <w:rPr>
          <w:rFonts w:ascii="Times New Roman" w:hAnsi="Times New Roman"/>
          <w:b w:val="false"/>
          <w:i w:val="false"/>
          <w:color w:val="000000"/>
          <w:sz w:val="22"/>
        </w:rPr>
        <w:t xml:space="preserve">means an abandoned, idled, or underutilized property where expansion or redevelopment is complicated by real or perceived environmental contamination. A brownfield site includes property contiguous with the site on which the property is located. A brownfield site does not include property which has been placed, or is proposed for placement, on the national priorities list established pursuant to the federal Comprehensive Environmental Response, Compensation, and Liability Act, </w:t>
      </w:r>
      <w:r>
        <w:rPr>
          <w:rFonts w:ascii="Times New Roman" w:hAnsi="Times New Roman"/>
          <w:b w:val="false"/>
          <w:i w:val="false"/>
          <w:color w:val="000000"/>
          <w:sz w:val="22"/>
        </w:rPr>
        <w:t>42 U.S.C. §9601 et seq.</w:t>
      </w:r>
      <w:r>
        <w:rPr>
          <w:rFonts w:ascii="Times New Roman" w:hAnsi="Times New Roman"/>
          <w:b w:val="false"/>
          <w:i w:val="false"/>
          <w:color w:val="000000"/>
          <w:sz w:val="22"/>
        </w:rPr>
        <w:t xml:space="preserve"> In order to administer similar programs in a similar manner, the authority will attempt to apply this definition in substantially the same way as similar definitions are applied by the brownfield advisory council established in Iowa Code section </w:t>
      </w:r>
      <w:hyperlink r:id="rId8">
        <w:r>
          <w:rPr>
            <w:rStyle w:val="Hyperlink"/>
            <w:rFonts w:ascii="Times New Roman" w:hAnsi="Times New Roman"/>
            <w:b w:val="false"/>
            <w:i w:val="false"/>
            <w:color w:val="000000"/>
            <w:sz w:val="22"/>
          </w:rPr>
          <w:t>15.294</w:t>
        </w:r>
      </w:hyperlink>
      <w:r>
        <w:rPr>
          <w:rFonts w:ascii="Times New Roman" w:hAnsi="Times New Roman"/>
          <w:b w:val="false"/>
          <w:i w:val="false"/>
          <w:color w:val="000000"/>
          <w:sz w:val="22"/>
        </w:rPr>
        <w:t xml:space="preserve"> and may consult members of the council or other staff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w:t>
      </w:r>
      <w:r>
        <w:rPr>
          <w:rFonts w:ascii="Times New Roman" w:hAnsi="Times New Roman"/>
          <w:b w:val="false"/>
          <w:i w:val="false"/>
          <w:color w:val="000000"/>
          <w:sz w:val="22"/>
        </w:rPr>
        <w:t>means a city or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“Costs directly related” </w:t>
      </w:r>
      <w:r>
        <w:rPr>
          <w:rFonts w:ascii="Times New Roman" w:hAnsi="Times New Roman"/>
          <w:b w:val="false"/>
          <w:i w:val="false"/>
          <w:color w:val="000000"/>
          <w:sz w:val="22"/>
        </w:rPr>
        <w:t>means expenditures that are incurred for construction of a housing project to the extent that they are attributable directly to the improvement of the property or its structures. “Costs directly related” includes expenditures for site preparation work, surveying, construction materials, construction labor, architectural services, and engineering services. “Costs directly related” does not include expenditures for property acquisition, building permits, building inspection fees, furnishings, appliances, accounting services, legal services, loan origination and other financing costs including interest on construction loans, syndication fees and related costs, developer fees, or the costs associated with selling or renting the dwelling units whether incurred before or after completion of the housing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“Disaster recovery housing project” </w:t>
      </w:r>
      <w:r>
        <w:rPr>
          <w:rFonts w:ascii="Times New Roman" w:hAnsi="Times New Roman"/>
          <w:b w:val="false"/>
          <w:i w:val="false"/>
          <w:color w:val="000000"/>
          <w:sz w:val="22"/>
        </w:rPr>
        <w:t>means a qualified housing project located in a county that has been declared a major disaster by the President of the United States on or after March 12, 2019, and that is also a county in which individuals are eligible for federal individual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“Grayfield site” </w:t>
      </w:r>
      <w:r>
        <w:rPr>
          <w:rFonts w:ascii="Times New Roman" w:hAnsi="Times New Roman"/>
          <w:b w:val="false"/>
          <w:i w:val="false"/>
          <w:color w:val="000000"/>
          <w:sz w:val="22"/>
        </w:rPr>
        <w:t>means a property meeting all of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property has been developed and has infrastructure in place but the property’s current use is outdated or prevents a better or more efficient use of the property. Such property includes vacant, blighted, obsolete, or otherwise underutilized property.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property’s improvements and infrastructure are at least 25 years old and one or more of the following conditions exists: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Thirty percent or more of a building located on the property that is available for occupancy has been vacant or unoccupied for a period of 12 months or more.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assessed value of the improvements on the property has decreased by 25 percent or more.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property is currently being used as a parking lot.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improvements on the property no longer exist.</w:t>
      </w:r>
    </w:p>
    <w:p>
      <w:pPr>
        <w:spacing w:before="0" w:after="0"/>
        <w:ind w:left="120"/>
        <w:jc w:val="both"/>
      </w:pPr>
      <w:r>
        <w:rPr>
          <w:rFonts w:ascii="Times New Roman" w:hAnsi="Times New Roman"/>
          <w:b w:val="false"/>
          <w:i w:val="false"/>
          <w:color w:val="000000"/>
          <w:sz w:val="22"/>
        </w:rPr>
        <w:t xml:space="preserve">In administering the program, the authority will attempt to apply this definition in substantially the same manner as similar definitions are applied by the brownfield advisory council established in Iowa Code section </w:t>
      </w:r>
      <w:hyperlink r:id="rId9">
        <w:r>
          <w:rPr>
            <w:rStyle w:val="Hyperlink"/>
            <w:rFonts w:ascii="Times New Roman" w:hAnsi="Times New Roman"/>
            <w:b w:val="false"/>
            <w:i w:val="false"/>
            <w:color w:val="000000"/>
            <w:sz w:val="22"/>
          </w:rPr>
          <w:t>15.294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“Greenfield site” </w:t>
      </w:r>
      <w:r>
        <w:rPr>
          <w:rFonts w:ascii="Times New Roman" w:hAnsi="Times New Roman"/>
          <w:b w:val="false"/>
          <w:i w:val="false"/>
          <w:color w:val="000000"/>
          <w:sz w:val="22"/>
        </w:rPr>
        <w:t>means a site that does not meet the definition of a brownfield site or grayfield site. A project proposed at a site located on previously undeveloped or agricultural land shall be presumed to be a greenfield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“Housing business” </w:t>
      </w:r>
      <w:r>
        <w:rPr>
          <w:rFonts w:ascii="Times New Roman" w:hAnsi="Times New Roman"/>
          <w:b w:val="false"/>
          <w:i w:val="false"/>
          <w:color w:val="000000"/>
          <w:sz w:val="22"/>
        </w:rPr>
        <w:t>means a business that is a housing developer, housing contractor, or nonprofit organization that completes a housing project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“Housing project” </w:t>
      </w:r>
      <w:r>
        <w:rPr>
          <w:rFonts w:ascii="Times New Roman" w:hAnsi="Times New Roman"/>
          <w:b w:val="false"/>
          <w:i w:val="false"/>
          <w:color w:val="000000"/>
          <w:sz w:val="22"/>
        </w:rPr>
        <w:t xml:space="preserve">means a project located in this state meeting the requirements of rule </w:t>
      </w:r>
      <w:hyperlink r:id="rId10">
        <w:r>
          <w:rPr>
            <w:rStyle w:val="Hyperlink"/>
            <w:rFonts w:ascii="Times New Roman" w:hAnsi="Times New Roman"/>
            <w:b w:val="false"/>
            <w:i w:val="false"/>
            <w:color w:val="000000"/>
            <w:sz w:val="22"/>
          </w:rPr>
          <w:t>261—48.4</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“Laborshed area” </w:t>
      </w:r>
      <w:r>
        <w:rPr>
          <w:rFonts w:ascii="Times New Roman" w:hAnsi="Times New Roman"/>
          <w:b w:val="false"/>
          <w:i w:val="false"/>
          <w:color w:val="000000"/>
          <w:sz w:val="22"/>
        </w:rPr>
        <w:t xml:space="preserve">means the same as defined in </w:t>
      </w:r>
      <w:hyperlink r:id="rId11">
        <w:r>
          <w:rPr>
            <w:rStyle w:val="Hyperlink"/>
            <w:rFonts w:ascii="Times New Roman" w:hAnsi="Times New Roman"/>
            <w:b w:val="false"/>
            <w:i w:val="false"/>
            <w:color w:val="000000"/>
            <w:sz w:val="22"/>
          </w:rPr>
          <w:t>261—Chapter 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“Laborshed wage” </w:t>
      </w:r>
      <w:r>
        <w:rPr>
          <w:rFonts w:ascii="Times New Roman" w:hAnsi="Times New Roman"/>
          <w:b w:val="false"/>
          <w:i w:val="false"/>
          <w:color w:val="000000"/>
          <w:sz w:val="22"/>
        </w:rPr>
        <w:t xml:space="preserve">means the same as defined in </w:t>
      </w:r>
      <w:hyperlink r:id="rId12">
        <w:r>
          <w:rPr>
            <w:rStyle w:val="Hyperlink"/>
            <w:rFonts w:ascii="Times New Roman" w:hAnsi="Times New Roman"/>
            <w:b w:val="false"/>
            <w:i w:val="false"/>
            <w:color w:val="000000"/>
            <w:sz w:val="22"/>
          </w:rPr>
          <w:t>261—Chapter 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“Multi-use building” </w:t>
      </w:r>
      <w:r>
        <w:rPr>
          <w:rFonts w:ascii="Times New Roman" w:hAnsi="Times New Roman"/>
          <w:b w:val="false"/>
          <w:i w:val="false"/>
          <w:color w:val="000000"/>
          <w:sz w:val="22"/>
        </w:rPr>
        <w:t>means a building whose street-level ground story is used for a purpose that is other than residential, and whose upper story or stories are currently used primarily for a residential purpose, or will be used primarily for a residential purpose after completion of the housing project associated with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dwelling units” </w:t>
      </w:r>
      <w:r>
        <w:rPr>
          <w:rFonts w:ascii="Times New Roman" w:hAnsi="Times New Roman"/>
          <w:b w:val="false"/>
          <w:i w:val="false"/>
          <w:color w:val="000000"/>
          <w:sz w:val="22"/>
        </w:rPr>
        <w:t>means dwelling units that are made available for occupancy in a community as a result of a housing project and that were not available for occupancy as residential housing in the community for a period of at least six months prior to the date on which application is made to the authority under the program. If a dwelling unit has served as residential housing and been occupied during the six months preceding the date on which application is made to the authority under the program, then the dwelling unit shall be presumed not to be a new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workforce housing tax incentives program administered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completion”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15.355(2)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new investment” </w:t>
      </w:r>
      <w:r>
        <w:rPr>
          <w:rFonts w:ascii="Times New Roman" w:hAnsi="Times New Roman"/>
          <w:b w:val="false"/>
          <w:i w:val="false"/>
          <w:color w:val="000000"/>
          <w:sz w:val="22"/>
        </w:rPr>
        <w:t>means costs that are directly related to the acquisition, repair, rehabilitation, or redevelopment of a housing project in this state. For purposes of this rule, “costs directly related to acquisition” includes the costs associated with the purchase of real property or other structures.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amount of costs that may be used to compute “qualifying new investment” shall not exceed the costs used for the first $150,000 of value for each dwelling unit that is part of a housing project.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“Qualifying new investment” does not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portion of the total cost of a housing project that is financed by federal, state, or local government tax credits, grants, forgivable loans, or other forms of financial assistance that do not require repayment, excluding the tax incentives provided under this program.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a housing project includes the rehabilitation, repair, or redevelopment of an existing multi-use building, the portion of the total acquisition costs of the multi-use building, including a proportionate share of the total acquisition costs of the land upon which the multi-use building is situated, that are attributable to the street-level ground story that is used for a purpose that is other than residential.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costs, including acquisition costs, incurred before the housing project is approved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“Refund notice” </w:t>
      </w:r>
      <w:r>
        <w:rPr>
          <w:rFonts w:ascii="Times New Roman" w:hAnsi="Times New Roman"/>
          <w:b w:val="false"/>
          <w:i w:val="false"/>
          <w:color w:val="000000"/>
          <w:sz w:val="22"/>
        </w:rPr>
        <w:t xml:space="preserve">means a notice provided by the authority of the amount that an eligible housing business may claim as a refund of the sales and use tax under Iowa Code section </w:t>
      </w:r>
      <w:hyperlink r:id="rId14">
        <w:r>
          <w:rPr>
            <w:rStyle w:val="Hyperlink"/>
            <w:rFonts w:ascii="Times New Roman" w:hAnsi="Times New Roman"/>
            <w:b w:val="false"/>
            <w:i w:val="false"/>
            <w:color w:val="000000"/>
            <w:sz w:val="22"/>
          </w:rPr>
          <w:t>15.355(2)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“Rehabilitation, repair, or redevelopment” </w:t>
      </w:r>
      <w:r>
        <w:rPr>
          <w:rFonts w:ascii="Times New Roman" w:hAnsi="Times New Roman"/>
          <w:b w:val="false"/>
          <w:i w:val="false"/>
          <w:color w:val="000000"/>
          <w:sz w:val="22"/>
        </w:rPr>
        <w:t>means construction or development activities associated with a housing project that are undertaken for the purpose of reusing or repurposing existing buildings or structures as new dwelling units. Rehabilitation, repair, or redevelopment does not include new construction of dwelling units at a greenfield site. Rehabilitation, repair, or redevelopment includes new structures at a qualified grayfield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city” </w:t>
      </w:r>
      <w:r>
        <w:rPr>
          <w:rFonts w:ascii="Times New Roman" w:hAnsi="Times New Roman"/>
          <w:b w:val="false"/>
          <w:i w:val="false"/>
          <w:color w:val="000000"/>
          <w:sz w:val="22"/>
        </w:rPr>
        <w:t xml:space="preserve">means a city that meets the applicable criteria in rule </w:t>
      </w:r>
      <w:hyperlink r:id="rId15">
        <w:r>
          <w:rPr>
            <w:rStyle w:val="Hyperlink"/>
            <w:rFonts w:ascii="Times New Roman" w:hAnsi="Times New Roman"/>
            <w:b w:val="false"/>
            <w:i w:val="false"/>
            <w:color w:val="000000"/>
            <w:sz w:val="22"/>
          </w:rPr>
          <w:t>261—48.3</w:t>
        </w:r>
      </w:hyperlink>
      <w:r>
        <w:rPr>
          <w:rFonts w:ascii="Times New Roman" w:hAnsi="Times New Roman"/>
          <w:b w:val="false"/>
          <w:i w:val="false"/>
          <w:color w:val="000000"/>
          <w:sz w:val="22"/>
        </w:rPr>
        <w:t xml:space="preserve">(15).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credit certificate” </w:t>
      </w:r>
      <w:r>
        <w:rPr>
          <w:rFonts w:ascii="Times New Roman" w:hAnsi="Times New Roman"/>
          <w:b w:val="false"/>
          <w:i w:val="false"/>
          <w:color w:val="000000"/>
          <w:sz w:val="22"/>
        </w:rPr>
        <w:t xml:space="preserve">means a certificate issued by the authority stating the amount of workforce housing investment tax credits under Iowa Code section </w:t>
      </w:r>
      <w:hyperlink r:id="rId16">
        <w:r>
          <w:rPr>
            <w:rStyle w:val="Hyperlink"/>
            <w:rFonts w:ascii="Times New Roman" w:hAnsi="Times New Roman"/>
            <w:b w:val="false"/>
            <w:i w:val="false"/>
            <w:color w:val="000000"/>
            <w:sz w:val="22"/>
          </w:rPr>
          <w:t>15.355(3)</w:t>
        </w:r>
      </w:hyperlink>
      <w:r>
        <w:rPr>
          <w:rFonts w:ascii="Times New Roman" w:hAnsi="Times New Roman"/>
          <w:b w:val="false"/>
          <w:i w:val="false"/>
          <w:color w:val="000000"/>
          <w:sz w:val="22"/>
        </w:rPr>
        <w:t xml:space="preserve"> that an eligible housing business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“Urban area” </w:t>
      </w:r>
      <w:r>
        <w:rPr>
          <w:rFonts w:ascii="Times New Roman" w:hAnsi="Times New Roman"/>
          <w:b w:val="false"/>
          <w:i w:val="false"/>
          <w:color w:val="000000"/>
          <w:sz w:val="22"/>
        </w:rPr>
        <w:t>means any city or township, except for a small city, that is wholly located within one or more of the 11 most populous counties in the state, as determined by either the most recent population estimate produced by the United States Bureau of the Census or the most recent decennial census released by the United States Bureau of the Census.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1801C</w:t>
      </w:r>
      <w:r>
        <w:rPr>
          <w:rFonts w:ascii="Times New Roman" w:hAnsi="Times New Roman"/>
          <w:b w:val="false"/>
          <w:i w:val="false"/>
          <w:color w:val="000000"/>
          <w:sz w:val="16"/>
        </w:rPr>
        <w:t>, IAB 12/24/14, effective 1/28/15</w:t>
      </w:r>
      <w:r>
        <w:rPr>
          <w:rFonts w:ascii="Times New Roman" w:hAnsi="Times New Roman"/>
          <w:b w:val="false"/>
          <w:i w:val="false"/>
          <w:color w:val="000000"/>
          <w:sz w:val="16"/>
        </w:rPr>
        <w:t xml:space="preserve">; </w:t>
      </w:r>
      <w:r>
        <w:rPr>
          <w:rFonts w:ascii="Times New Roman" w:hAnsi="Times New Roman"/>
          <w:b/>
          <w:i w:val="false"/>
          <w:color w:val="000000"/>
          <w:sz w:val="16"/>
        </w:rPr>
        <w:t>ARC 3581C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 xml:space="preserve">; </w:t>
      </w:r>
      <w:r>
        <w:rPr>
          <w:rFonts w:ascii="Times New Roman" w:hAnsi="Times New Roman"/>
          <w:b/>
          <w:i w:val="false"/>
          <w:color w:val="000000"/>
          <w:sz w:val="16"/>
        </w:rPr>
        <w:t>ARC 4724C</w:t>
      </w:r>
      <w:r>
        <w:rPr>
          <w:rFonts w:ascii="Times New Roman" w:hAnsi="Times New Roman"/>
          <w:b w:val="false"/>
          <w:i w:val="false"/>
          <w:color w:val="000000"/>
          <w:sz w:val="16"/>
        </w:rPr>
        <w:t>, IAB 10/23/19, effective 10/3/19</w:t>
      </w:r>
      <w:r>
        <w:rPr>
          <w:rFonts w:ascii="Times New Roman" w:hAnsi="Times New Roman"/>
          <w:b w:val="false"/>
          <w:i w:val="false"/>
          <w:color w:val="000000"/>
          <w:sz w:val="16"/>
        </w:rPr>
        <w:t xml:space="preserve">; </w:t>
      </w:r>
      <w:r>
        <w:rPr>
          <w:rFonts w:ascii="Times New Roman" w:hAnsi="Times New Roman"/>
          <w:b/>
          <w:i w:val="false"/>
          <w:color w:val="000000"/>
          <w:sz w:val="16"/>
        </w:rPr>
        <w:t>ARC 6086C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6467C</w:t>
      </w:r>
      <w:r>
        <w:rPr>
          <w:rFonts w:ascii="Times New Roman" w:hAnsi="Times New Roman"/>
          <w:b w:val="false"/>
          <w:i w:val="false"/>
          <w:color w:val="000000"/>
          <w:sz w:val="16"/>
        </w:rPr>
        <w:t>, IAB 8/24/22, effective 9/28/22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261—48.3</w:t>
      </w:r>
      <w:r>
        <w:rPr>
          <w:rFonts w:ascii="Times New Roman" w:hAnsi="Times New Roman"/>
          <w:b/>
          <w:i w:val="false"/>
          <w:color w:val="000000"/>
          <w:sz w:val="22"/>
        </w:rPr>
        <w:t xml:space="preserve">(15) </w:t>
      </w:r>
      <w:r>
        <w:rPr>
          <w:rFonts w:ascii="Times New Roman" w:hAnsi="Times New Roman"/>
          <w:b/>
          <w:i w:val="false"/>
          <w:color w:val="000000"/>
          <w:sz w:val="22"/>
        </w:rPr>
        <w:t xml:space="preserve">Small cities. </w:t>
      </w:r>
      <w:r>
        <w:rPr>
          <w:rFonts w:ascii="Times New Roman" w:hAnsi="Times New Roman"/>
          <w:b w:val="false"/>
          <w:i w:val="false"/>
          <w:color w:val="000000"/>
          <w:sz w:val="22"/>
        </w:rPr>
        <w:t>For the purposes of this chapter, the following subrules will determine which cities and townships will be considered small cities.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48.3(1)</w:t>
      </w:r>
      <w:r>
        <w:rPr>
          <w:rFonts w:ascii="Times New Roman" w:hAnsi="Times New Roman"/>
          <w:b w:val="false"/>
          <w:i w:val="false"/>
          <w:color w:val="000000"/>
          <w:sz w:val="22"/>
        </w:rPr>
        <w:t> </w:t>
      </w:r>
      <w:r>
        <w:rPr>
          <w:rFonts w:ascii="Times New Roman" w:hAnsi="Times New Roman"/>
          <w:b w:val="false"/>
          <w:i w:val="false"/>
          <w:color w:val="000000"/>
          <w:sz w:val="22"/>
        </w:rPr>
        <w:t>For projects that received a refund notice or tax credit certificate on or before June 30, 2021, a small city is any city or township located in this state, except those located wholly within one or more of the 11 most populous counties in the state, as determined by the most recent population estimates issued by the United States Bureau of the Census.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48.3(2)</w:t>
      </w:r>
      <w:r>
        <w:rPr>
          <w:rFonts w:ascii="Times New Roman" w:hAnsi="Times New Roman"/>
          <w:b w:val="false"/>
          <w:i w:val="false"/>
          <w:color w:val="000000"/>
          <w:sz w:val="22"/>
        </w:rPr>
        <w:t> </w:t>
      </w:r>
      <w:r>
        <w:rPr>
          <w:rFonts w:ascii="Times New Roman" w:hAnsi="Times New Roman"/>
          <w:b w:val="false"/>
          <w:i w:val="false"/>
          <w:color w:val="000000"/>
          <w:sz w:val="22"/>
        </w:rPr>
        <w:t>For projects that received a refund notice or tax credit certificate on or after July 1, 2021, a small city is any city or township located in this state, except those located wholly within one or more of the 11 most populous counties in the state, as determined by either the most recent population estimate produced by the United States Bureau of the Census or the most recent decennial census released by the United States Bureau of the Census.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48.3(3)</w:t>
      </w:r>
      <w:r>
        <w:rPr>
          <w:rFonts w:ascii="Times New Roman" w:hAnsi="Times New Roman"/>
          <w:b w:val="false"/>
          <w:i w:val="false"/>
          <w:color w:val="000000"/>
          <w:sz w:val="22"/>
        </w:rPr>
        <w:t> </w:t>
      </w:r>
      <w:r>
        <w:rPr>
          <w:rFonts w:ascii="Times New Roman" w:hAnsi="Times New Roman"/>
          <w:b w:val="false"/>
          <w:i w:val="false"/>
          <w:color w:val="000000"/>
          <w:sz w:val="22"/>
        </w:rPr>
        <w:t xml:space="preserve">On or after July 1, 2021, any city or township located wholly within one or more of the 11 most populous counties in the state, as determined pursuant to </w:t>
      </w:r>
      <w:hyperlink r:id="rId17">
        <w:r>
          <w:rPr>
            <w:rStyle w:val="Hyperlink"/>
            <w:rFonts w:ascii="Times New Roman" w:hAnsi="Times New Roman"/>
            <w:b w:val="false"/>
            <w:i w:val="false"/>
            <w:color w:val="000000"/>
            <w:sz w:val="22"/>
          </w:rPr>
          <w:t>subrule 48.3(2)</w:t>
        </w:r>
      </w:hyperlink>
      <w:r>
        <w:rPr>
          <w:rFonts w:ascii="Times New Roman" w:hAnsi="Times New Roman"/>
          <w:b w:val="false"/>
          <w:i w:val="false"/>
          <w:color w:val="000000"/>
          <w:sz w:val="22"/>
        </w:rPr>
        <w:t>, may be considered a small city if the city meets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city or township has a population less than or equal to 2,500 as determined by either the most recent population estimate produced by the United States Bureau of the Census or the most recent decennial census released by the United States Bureau of the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or township had population growth of less than 30 percent as calculated by comparing the population in the most recent decennial census released by the United States Bureau of the Census to the population in the decennial census released ten years prior.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6467C</w:t>
      </w:r>
      <w:r>
        <w:rPr>
          <w:rFonts w:ascii="Times New Roman" w:hAnsi="Times New Roman"/>
          <w:b w:val="false"/>
          <w:i w:val="false"/>
          <w:color w:val="000000"/>
          <w:sz w:val="16"/>
        </w:rPr>
        <w:t>, IAB 8/24/22, effective 9/28/22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261—48.4</w:t>
      </w:r>
      <w:r>
        <w:rPr>
          <w:rFonts w:ascii="Times New Roman" w:hAnsi="Times New Roman"/>
          <w:b/>
          <w:i w:val="false"/>
          <w:color w:val="000000"/>
          <w:sz w:val="22"/>
        </w:rPr>
        <w:t xml:space="preserve">(15) </w:t>
      </w:r>
      <w:r>
        <w:rPr>
          <w:rFonts w:ascii="Times New Roman" w:hAnsi="Times New Roman"/>
          <w:b/>
          <w:i w:val="false"/>
          <w:color w:val="000000"/>
          <w:sz w:val="22"/>
        </w:rPr>
        <w:t xml:space="preserve">Housing project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48.4(1)</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 types.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receive workforce housing tax incentives pursuant to the program, a proposed housing project shall meet all of the requirements of Iowa Code section </w:t>
      </w:r>
      <w:hyperlink r:id="rId18">
        <w:r>
          <w:rPr>
            <w:rStyle w:val="Hyperlink"/>
            <w:rFonts w:ascii="Times New Roman" w:hAnsi="Times New Roman"/>
            <w:b w:val="false"/>
            <w:i w:val="false"/>
            <w:color w:val="000000"/>
            <w:sz w:val="22"/>
          </w:rPr>
          <w:t>15.353</w:t>
        </w:r>
      </w:hyperlink>
      <w:r>
        <w:rPr>
          <w:rFonts w:ascii="Times New Roman" w:hAnsi="Times New Roman"/>
          <w:b w:val="false"/>
          <w:i w:val="false"/>
          <w:color w:val="000000"/>
          <w:sz w:val="22"/>
        </w:rPr>
        <w:t>. Projects located in a 100-year floodplain are not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will determine whether a dwelling unit should be classified as a single-family dwelling unit for the purposes of this subrule. The authority may consider factors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a unit is separated from other units by a ground-to-roof wall;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unit has a separate heating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unit has an individual meter for public utilities;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unit has other units above or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48.4(2)</w:t>
      </w:r>
      <w:r>
        <w:rPr>
          <w:rFonts w:ascii="Times New Roman" w:hAnsi="Times New Roman"/>
          <w:b w:val="false"/>
          <w:i w:val="false"/>
          <w:color w:val="000000"/>
          <w:sz w:val="22"/>
        </w:rPr>
        <w:t> </w:t>
      </w:r>
      <w:r>
        <w:rPr>
          <w:rFonts w:ascii="Times New Roman" w:hAnsi="Times New Roman"/>
          <w:b w:val="false"/>
          <w:i/>
          <w:color w:val="000000"/>
          <w:sz w:val="22"/>
        </w:rPr>
        <w:t xml:space="preserve">Maximum cost. </w:t>
      </w:r>
      <w:r>
        <w:rPr>
          <w:rFonts w:ascii="Times New Roman" w:hAnsi="Times New Roman"/>
          <w:b w:val="false"/>
          <w:i w:val="false"/>
          <w:color w:val="000000"/>
          <w:sz w:val="22"/>
        </w:rPr>
        <w:t xml:space="preserve">Except as provided in </w:t>
      </w:r>
      <w:hyperlink r:id="rId19">
        <w:r>
          <w:rPr>
            <w:rStyle w:val="Hyperlink"/>
            <w:rFonts w:ascii="Times New Roman" w:hAnsi="Times New Roman"/>
            <w:b w:val="false"/>
            <w:i w:val="false"/>
            <w:color w:val="000000"/>
            <w:sz w:val="22"/>
          </w:rPr>
          <w:t>subrules 48.4(3)</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48.4(4)</w:t>
        </w:r>
      </w:hyperlink>
      <w:r>
        <w:rPr>
          <w:rFonts w:ascii="Times New Roman" w:hAnsi="Times New Roman"/>
          <w:b w:val="false"/>
          <w:i w:val="false"/>
          <w:color w:val="000000"/>
          <w:sz w:val="22"/>
        </w:rPr>
        <w:t xml:space="preserve"> below, the average dwelling unit cost does not exceed the maximum amount established by the board for each fiscal year for the applicable project type and project location. The board shall establish the maximum average dwelling unit cost for the project types set forth in </w:t>
      </w:r>
      <w:hyperlink r:id="rId21">
        <w:r>
          <w:rPr>
            <w:rStyle w:val="Hyperlink"/>
            <w:rFonts w:ascii="Times New Roman" w:hAnsi="Times New Roman"/>
            <w:b w:val="false"/>
            <w:i w:val="false"/>
            <w:color w:val="000000"/>
            <w:sz w:val="22"/>
          </w:rPr>
          <w:t>paragraphs 48.4(2)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In establishing each maximum average dwelling unit cost, the board shall primarily consider the most recent annual United States Bureau of the Census building permits survey and historical program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Single-family dwelling units located in a small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Single-family dwelling units located in an urban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Multiple dwelling unit buildings located in a small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Multiple dwelling unit buildings located in an urban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48.4(3)</w:t>
      </w:r>
      <w:r>
        <w:rPr>
          <w:rFonts w:ascii="Times New Roman" w:hAnsi="Times New Roman"/>
          <w:b w:val="false"/>
          <w:i w:val="false"/>
          <w:color w:val="000000"/>
          <w:sz w:val="22"/>
        </w:rPr>
        <w:t> </w:t>
      </w:r>
      <w:r>
        <w:rPr>
          <w:rFonts w:ascii="Times New Roman" w:hAnsi="Times New Roman"/>
          <w:b w:val="false"/>
          <w:i/>
          <w:color w:val="000000"/>
          <w:sz w:val="22"/>
        </w:rPr>
        <w:t xml:space="preserve">Maximum cost for historic projects. </w:t>
      </w:r>
      <w:r>
        <w:rPr>
          <w:rFonts w:ascii="Times New Roman" w:hAnsi="Times New Roman"/>
          <w:b w:val="false"/>
          <w:i w:val="false"/>
          <w:color w:val="000000"/>
          <w:sz w:val="22"/>
        </w:rPr>
        <w:t xml:space="preserve">If the project is a qualified rehabilitation project, as that term is defined in Iowa Code section </w:t>
      </w:r>
      <w:hyperlink r:id="rId22">
        <w:r>
          <w:rPr>
            <w:rStyle w:val="Hyperlink"/>
            <w:rFonts w:ascii="Times New Roman" w:hAnsi="Times New Roman"/>
            <w:b w:val="false"/>
            <w:i w:val="false"/>
            <w:color w:val="000000"/>
            <w:sz w:val="22"/>
          </w:rPr>
          <w:t>404A.1(8)</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average dwelling unit cost shall not exceed 125 percent of the maximum average dwelling unit cost established by the board for the applicable project type and project location as provided in </w:t>
      </w:r>
      <w:hyperlink r:id="rId23">
        <w:r>
          <w:rPr>
            <w:rStyle w:val="Hyperlink"/>
            <w:rFonts w:ascii="Times New Roman" w:hAnsi="Times New Roman"/>
            <w:b w:val="false"/>
            <w:i w:val="false"/>
            <w:color w:val="000000"/>
            <w:sz w:val="22"/>
          </w:rPr>
          <w:t>subrule 48.4(2)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48.4(4)</w:t>
      </w:r>
      <w:r>
        <w:rPr>
          <w:rFonts w:ascii="Times New Roman" w:hAnsi="Times New Roman"/>
          <w:b w:val="false"/>
          <w:i w:val="false"/>
          <w:color w:val="000000"/>
          <w:sz w:val="22"/>
        </w:rPr>
        <w:t> </w:t>
      </w:r>
      <w:r>
        <w:rPr>
          <w:rFonts w:ascii="Times New Roman" w:hAnsi="Times New Roman"/>
          <w:b w:val="false"/>
          <w:i/>
          <w:color w:val="000000"/>
          <w:sz w:val="22"/>
        </w:rPr>
        <w:t xml:space="preserve">Maximum cost on or before June 30, 2021. </w:t>
      </w:r>
      <w:r>
        <w:rPr>
          <w:rFonts w:ascii="Times New Roman" w:hAnsi="Times New Roman"/>
          <w:b w:val="false"/>
          <w:i w:val="false"/>
          <w:color w:val="000000"/>
          <w:sz w:val="22"/>
        </w:rPr>
        <w:t xml:space="preserve">For projects that received a refund notice or tax credit certificate on or before June 30, 2021, the average dwelling unit cost shall not exceed $200,000 per dwelling unit. If the project involves the rehabilitation, repair, redevelopment, or preservation of eligible property, as that term is defined in Iowa Code section </w:t>
      </w:r>
      <w:hyperlink r:id="rId24">
        <w:r>
          <w:rPr>
            <w:rStyle w:val="Hyperlink"/>
            <w:rFonts w:ascii="Times New Roman" w:hAnsi="Times New Roman"/>
            <w:b w:val="false"/>
            <w:i w:val="false"/>
            <w:color w:val="000000"/>
            <w:sz w:val="22"/>
          </w:rPr>
          <w:t>404A.1(8)</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average dwelling unit cost does not exceed $250,000 per dwelling unit.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1801C</w:t>
      </w:r>
      <w:r>
        <w:rPr>
          <w:rFonts w:ascii="Times New Roman" w:hAnsi="Times New Roman"/>
          <w:b w:val="false"/>
          <w:i w:val="false"/>
          <w:color w:val="000000"/>
          <w:sz w:val="16"/>
        </w:rPr>
        <w:t>, IAB 12/24/14, effective 1/28/15</w:t>
      </w:r>
      <w:r>
        <w:rPr>
          <w:rFonts w:ascii="Times New Roman" w:hAnsi="Times New Roman"/>
          <w:b w:val="false"/>
          <w:i w:val="false"/>
          <w:color w:val="000000"/>
          <w:sz w:val="16"/>
        </w:rPr>
        <w:t xml:space="preserve">; </w:t>
      </w:r>
      <w:r>
        <w:rPr>
          <w:rFonts w:ascii="Times New Roman" w:hAnsi="Times New Roman"/>
          <w:b/>
          <w:i w:val="false"/>
          <w:color w:val="000000"/>
          <w:sz w:val="16"/>
        </w:rPr>
        <w:t>ARC 3581C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 xml:space="preserve">; </w:t>
      </w:r>
      <w:r>
        <w:rPr>
          <w:rFonts w:ascii="Times New Roman" w:hAnsi="Times New Roman"/>
          <w:b/>
          <w:i w:val="false"/>
          <w:color w:val="000000"/>
          <w:sz w:val="16"/>
        </w:rPr>
        <w:t>ARC 5139C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i w:val="false"/>
          <w:color w:val="000000"/>
          <w:sz w:val="16"/>
        </w:rPr>
        <w:t>ARC 6467C</w:t>
      </w:r>
      <w:r>
        <w:rPr>
          <w:rFonts w:ascii="Times New Roman" w:hAnsi="Times New Roman"/>
          <w:b w:val="false"/>
          <w:i w:val="false"/>
          <w:color w:val="000000"/>
          <w:sz w:val="16"/>
        </w:rPr>
        <w:t>, IAB 8/24/22, effective 9/28/22</w:t>
      </w:r>
      <w:r>
        <w:rPr>
          <w:rFonts w:ascii="Times New Roman" w:hAnsi="Times New Roman"/>
          <w:b w:val="false"/>
          <w:i w:val="false"/>
          <w:color w:val="000000"/>
          <w:sz w:val="16"/>
        </w:rPr>
        <w:t xml:space="preserve">; </w:t>
      </w:r>
      <w:r>
        <w:rPr>
          <w:rFonts w:ascii="Times New Roman" w:hAnsi="Times New Roman"/>
          <w:b/>
          <w:i w:val="false"/>
          <w:color w:val="000000"/>
          <w:sz w:val="16"/>
        </w:rPr>
        <w:t>ARC 7492C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261—48.5</w:t>
      </w:r>
      <w:r>
        <w:rPr>
          <w:rFonts w:ascii="Times New Roman" w:hAnsi="Times New Roman"/>
          <w:b/>
          <w:i w:val="false"/>
          <w:color w:val="000000"/>
          <w:sz w:val="22"/>
        </w:rPr>
        <w:t xml:space="preserve">(15) </w:t>
      </w:r>
      <w:r>
        <w:rPr>
          <w:rFonts w:ascii="Times New Roman" w:hAnsi="Times New Roman"/>
          <w:b/>
          <w:i w:val="false"/>
          <w:color w:val="000000"/>
          <w:sz w:val="22"/>
        </w:rPr>
        <w:t xml:space="preserve">Housing project application and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housing business seeking workforce housing tax incentives provided in rule </w:t>
      </w:r>
      <w:hyperlink r:id="rId25">
        <w:r>
          <w:rPr>
            <w:rStyle w:val="Hyperlink"/>
            <w:rFonts w:ascii="Times New Roman" w:hAnsi="Times New Roman"/>
            <w:b w:val="false"/>
            <w:i w:val="false"/>
            <w:color w:val="000000"/>
            <w:sz w:val="22"/>
          </w:rPr>
          <w:t>261—48.6</w:t>
        </w:r>
      </w:hyperlink>
      <w:r>
        <w:rPr>
          <w:rFonts w:ascii="Times New Roman" w:hAnsi="Times New Roman"/>
          <w:b w:val="false"/>
          <w:i w:val="false"/>
          <w:color w:val="000000"/>
          <w:sz w:val="22"/>
        </w:rPr>
        <w:t xml:space="preserve">(15) shall make application to the authority in the manner prescribed in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required in paragraph </w:t>
      </w:r>
      <w:hyperlink r:id="rId26">
        <w:r>
          <w:rPr>
            <w:rStyle w:val="Hyperlink"/>
            <w:rFonts w:ascii="Times New Roman" w:hAnsi="Times New Roman"/>
            <w:b w:val="false"/>
            <w:i w:val="false"/>
            <w:color w:val="000000"/>
            <w:sz w:val="22"/>
          </w:rPr>
          <w:t>48.5(1)</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establishing local participation for the housing project: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resolution in support of the housing project by the community where the housing project will be located.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Documentation of local matching funds pledged for the housing project in an amount equal to at least $1,000 per dwelling unit, including but not limited to a funding agreement between the housing business and the community where the housing project will be located. For purposes of this paragraph, local matching funds shall be in the form of cash or cash equivalents or in the form of a local property tax exemption, rebate, refund, 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that meets the requirements and conditions of Iowa Code section </w:t>
      </w:r>
      <w:hyperlink r:id="rId27">
        <w:r>
          <w:rPr>
            <w:rStyle w:val="Hyperlink"/>
            <w:rFonts w:ascii="Times New Roman" w:hAnsi="Times New Roman"/>
            <w:b w:val="false"/>
            <w:i w:val="false"/>
            <w:color w:val="000000"/>
            <w:sz w:val="22"/>
          </w:rPr>
          <w:t>15.330(9)</w:t>
        </w:r>
      </w:hyperlink>
      <w:r>
        <w:rPr>
          <w:rFonts w:ascii="Times New Roman" w:hAnsi="Times New Roman"/>
          <w:b w:val="false"/>
          <w:i w:val="false"/>
          <w:color w:val="000000"/>
          <w:sz w:val="22"/>
        </w:rPr>
        <w:t xml:space="preserve"> if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showing the total costs and funding sources of the housing project sufficient to allow the authority to adequately determine the financing that will be utilized for the housing project, the actual cost of the dwelling units, and the amount of qualifying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information deemed necessary by the authority to evaluate the eligibility and financial need of the housing project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48.5(2)</w:t>
      </w:r>
      <w:r>
        <w:rPr>
          <w:rFonts w:ascii="Times New Roman" w:hAnsi="Times New Roman"/>
          <w:b w:val="false"/>
          <w:i w:val="false"/>
          <w:color w:val="000000"/>
          <w:sz w:val="22"/>
        </w:rPr>
        <w:t> </w:t>
      </w:r>
      <w:r>
        <w:rPr>
          <w:rFonts w:ascii="Times New Roman" w:hAnsi="Times New Roman"/>
          <w:b w:val="false"/>
          <w:i/>
          <w:color w:val="000000"/>
          <w:sz w:val="22"/>
        </w:rPr>
        <w:t xml:space="preserve"> Application review—tax incentive 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completed applications shall be reviewed and scored on a competitive basis by the authority pursuant to these rules. Review criteria include but are not limited to project need, project readiness, financial capacity, and project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review and scoring of all applications received during an application period, the authority may make a tax incentive award to a housing project. The tax incentive award shall represent the maximum amount of tax incentives the housing project may qualify for under the program. In determining a tax incentive award, the authority shall not use an amount of project costs that exceeds the amount included in the application from the housing business. Tax incentive awards shall be approved by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making a tax incentive award, the authority shall notify the housing business of its tax incentive award. The notification shall include the amount of tax incentives under rule </w:t>
      </w:r>
      <w:hyperlink r:id="rId28">
        <w:r>
          <w:rPr>
            <w:rStyle w:val="Hyperlink"/>
            <w:rFonts w:ascii="Times New Roman" w:hAnsi="Times New Roman"/>
            <w:b w:val="false"/>
            <w:i w:val="false"/>
            <w:color w:val="000000"/>
            <w:sz w:val="22"/>
          </w:rPr>
          <w:t>261—48.6</w:t>
        </w:r>
      </w:hyperlink>
      <w:r>
        <w:rPr>
          <w:rFonts w:ascii="Times New Roman" w:hAnsi="Times New Roman"/>
          <w:b w:val="false"/>
          <w:i w:val="false"/>
          <w:color w:val="000000"/>
          <w:sz w:val="22"/>
        </w:rPr>
        <w:t xml:space="preserve">(15) for which the housing business has received an award and a statement that the housing business has no right to receive a tax incentive certificate or claim a tax incentive until all requirements of the program, including all requirements imposed by the agreement entered into pursuant to </w:t>
      </w:r>
      <w:hyperlink r:id="rId29">
        <w:r>
          <w:rPr>
            <w:rStyle w:val="Hyperlink"/>
            <w:rFonts w:ascii="Times New Roman" w:hAnsi="Times New Roman"/>
            <w:b w:val="false"/>
            <w:i w:val="false"/>
            <w:color w:val="000000"/>
            <w:sz w:val="22"/>
          </w:rPr>
          <w:t>paragraph 48.5(3)</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satisfied. The amount of tax credits included on a tax credit certificate issued pursuant to this chapter, or a claim for refund of sales and use taxes, shall be contingent upon completion of the requirements in subrule </w:t>
      </w:r>
      <w:hyperlink r:id="rId30">
        <w:r>
          <w:rPr>
            <w:rStyle w:val="Hyperlink"/>
            <w:rFonts w:ascii="Times New Roman" w:hAnsi="Times New Roman"/>
            <w:b w:val="false"/>
            <w:i w:val="false"/>
            <w:color w:val="000000"/>
            <w:sz w:val="22"/>
          </w:rPr>
          <w:t>48.5(3)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that does not receive a tax incentive award during an application period may make additional applications during subsequent application periods. Such applicant shall be required to submit a new application, which shall be competitively reviewed and scored in the same manner as other applications in that application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48.5(3)</w:t>
      </w:r>
      <w:r>
        <w:rPr>
          <w:rFonts w:ascii="Times New Roman" w:hAnsi="Times New Roman"/>
          <w:b w:val="false"/>
          <w:i w:val="false"/>
          <w:color w:val="000000"/>
          <w:sz w:val="22"/>
        </w:rPr>
        <w:t> </w:t>
      </w:r>
      <w:r>
        <w:rPr>
          <w:rFonts w:ascii="Times New Roman" w:hAnsi="Times New Roman"/>
          <w:b w:val="false"/>
          <w:i/>
          <w:color w:val="000000"/>
          <w:sz w:val="22"/>
        </w:rPr>
        <w:t xml:space="preserve">Agreement and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receiving a tax incentive award for a housing project, the housing business shall enter into an agreement with the authority for the successful completion of all requirements of the program. The agreement shall identify the tax incentive amount, the tax incentive award date, the project completion deadline and the total costs of the housing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compliance cost fees imposed in Iowa Code section </w:t>
      </w:r>
      <w:hyperlink r:id="rId31">
        <w:r>
          <w:rPr>
            <w:rStyle w:val="Hyperlink"/>
            <w:rFonts w:ascii="Times New Roman" w:hAnsi="Times New Roman"/>
            <w:b w:val="false"/>
            <w:i w:val="false"/>
            <w:color w:val="000000"/>
            <w:sz w:val="22"/>
          </w:rPr>
          <w:t>15.330(12)</w:t>
        </w:r>
      </w:hyperlink>
      <w:r>
        <w:rPr>
          <w:rFonts w:ascii="Times New Roman" w:hAnsi="Times New Roman"/>
          <w:b w:val="false"/>
          <w:i w:val="false"/>
          <w:color w:val="000000"/>
          <w:sz w:val="22"/>
        </w:rPr>
        <w:t xml:space="preserve"> shall apply to all agreements entered into under this program and shall be collected by the authority in the same manner and to the same extent as described in that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Housing project completion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32">
        <w:r>
          <w:rPr>
            <w:rStyle w:val="Hyperlink"/>
            <w:rFonts w:ascii="Times New Roman" w:hAnsi="Times New Roman"/>
            <w:b w:val="false"/>
            <w:i w:val="false"/>
            <w:color w:val="000000"/>
            <w:sz w:val="22"/>
          </w:rPr>
          <w:t>subparagraph 48.5(3)</w:t>
        </w:r>
      </w:hyperlink>
      <w:r>
        <w:rPr>
          <w:rFonts w:ascii="Times New Roman" w:hAnsi="Times New Roman"/>
          <w:b w:val="false"/>
          <w:i/>
          <w:color w:val="000000"/>
          <w:sz w:val="22"/>
        </w:rPr>
        <w:t>“c”</w:t>
      </w:r>
      <w:r>
        <w:rPr>
          <w:rFonts w:ascii="Times New Roman" w:hAnsi="Times New Roman"/>
          <w:b w:val="false"/>
          <w:i w:val="false"/>
          <w:color w:val="000000"/>
          <w:sz w:val="22"/>
        </w:rPr>
        <w:t>(2), a housing business shall complete its housing project within three years from the date the housing project is registered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may for good cause within the discretion of the authority extend a housing project’s completion deadline by up to 12 months upon application by the housing business, which application shall be made prior to the expiration of the three-year completion deadline in </w:t>
      </w:r>
      <w:hyperlink r:id="rId33">
        <w:r>
          <w:rPr>
            <w:rStyle w:val="Hyperlink"/>
            <w:rFonts w:ascii="Times New Roman" w:hAnsi="Times New Roman"/>
            <w:b w:val="false"/>
            <w:i w:val="false"/>
            <w:color w:val="000000"/>
            <w:sz w:val="22"/>
          </w:rPr>
          <w:t>subparagraph 48.5(3)</w:t>
        </w:r>
      </w:hyperlink>
      <w:r>
        <w:rPr>
          <w:rFonts w:ascii="Times New Roman" w:hAnsi="Times New Roman"/>
          <w:b w:val="false"/>
          <w:i/>
          <w:color w:val="000000"/>
          <w:sz w:val="22"/>
        </w:rPr>
        <w:t>“c”</w:t>
      </w:r>
      <w:r>
        <w:rPr>
          <w:rFonts w:ascii="Times New Roman" w:hAnsi="Times New Roman"/>
          <w:b w:val="false"/>
          <w:i w:val="false"/>
          <w:color w:val="000000"/>
          <w:sz w:val="22"/>
        </w:rPr>
        <w:t>(1) in the manner and form prescribed by the authority. The authority may approve a second extension of up to 12 months if prior to the expiration of the first 12-month extension the housing business applies and substantiates to the satisfaction of the authority that the second extension is warranted due to extenuating circumstances outside the control of the housing business. An application by a housing business shall be made in the manner and form prescribed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completion of a housing project, a housing business shall submit all of the following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examination of the project in accordance with the American Institute of Certified Public Accountants’ statements on standards for attestation engagements, completed by a certified public accountant (CPA) authorized to practice in this state. The attestation applicable to this examination is SSAE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10 (as amended by SSAE Nos.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11, 12, 14), AT section 101 and AT section 601. The procedures used by the CPA to conduct the examination should allow the CPA to conclude that, in the CPA’s professional judgment, the expenditures claimed are eligible pursuant to the agreement; Iowa Code chapter </w:t>
      </w:r>
      <w:hyperlink r:id="rId34">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subchapter II, part 17; and all rules adopted pursuant to Iowa Code chapter </w:t>
      </w:r>
      <w:hyperlink r:id="rId35">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subchapter II, part 17, in all material respects. Within ten business days of a request by the authority, the housing business shall make available to the authority the documents reviewed by the CPA unless good cause is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of the final amount of qualifying new investment for the housing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information the authority deems necessary to ensure compliance with the agreement signed by the housing business pursuant to paragraph </w:t>
      </w:r>
      <w:hyperlink r:id="rId36">
        <w:r>
          <w:rPr>
            <w:rStyle w:val="Hyperlink"/>
            <w:rFonts w:ascii="Times New Roman" w:hAnsi="Times New Roman"/>
            <w:b w:val="false"/>
            <w:i w:val="false"/>
            <w:color w:val="000000"/>
            <w:sz w:val="22"/>
          </w:rPr>
          <w:t>48.5(3)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requirements of Iowa Code chapter </w:t>
      </w:r>
      <w:hyperlink r:id="rId37">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subchapter II, part 17; and these rules and rules adopted by the department of revenue pursuant to Iowa Code section </w:t>
      </w:r>
      <w:hyperlink r:id="rId38">
        <w:r>
          <w:rPr>
            <w:rStyle w:val="Hyperlink"/>
            <w:rFonts w:ascii="Times New Roman" w:hAnsi="Times New Roman"/>
            <w:b w:val="false"/>
            <w:i w:val="false"/>
            <w:color w:val="000000"/>
            <w:sz w:val="22"/>
          </w:rPr>
          <w:t>15.356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review of the examination, verification of the amount of the qualifying new investment, and review of any other information submitted pursuant to </w:t>
      </w:r>
      <w:hyperlink r:id="rId39">
        <w:r>
          <w:rPr>
            <w:rStyle w:val="Hyperlink"/>
            <w:rFonts w:ascii="Times New Roman" w:hAnsi="Times New Roman"/>
            <w:b w:val="false"/>
            <w:i w:val="false"/>
            <w:color w:val="000000"/>
            <w:sz w:val="22"/>
          </w:rPr>
          <w:t>subparagraph 48.5(3)</w:t>
        </w:r>
      </w:hyperlink>
      <w:r>
        <w:rPr>
          <w:rFonts w:ascii="Times New Roman" w:hAnsi="Times New Roman"/>
          <w:b w:val="false"/>
          <w:i/>
          <w:color w:val="000000"/>
          <w:sz w:val="22"/>
        </w:rPr>
        <w:t>“d”</w:t>
      </w:r>
      <w:r>
        <w:rPr>
          <w:rFonts w:ascii="Times New Roman" w:hAnsi="Times New Roman"/>
          <w:b w:val="false"/>
          <w:i w:val="false"/>
          <w:color w:val="000000"/>
          <w:sz w:val="22"/>
        </w:rPr>
        <w:t xml:space="preserve">(3), the authority may notify the housing business of the amount that the housing business may claim as a refund of the sales and use taxes under </w:t>
      </w:r>
      <w:hyperlink r:id="rId40">
        <w:r>
          <w:rPr>
            <w:rStyle w:val="Hyperlink"/>
            <w:rFonts w:ascii="Times New Roman" w:hAnsi="Times New Roman"/>
            <w:b w:val="false"/>
            <w:i w:val="false"/>
            <w:color w:val="000000"/>
            <w:sz w:val="22"/>
          </w:rPr>
          <w:t>subrule 48.6(2)</w:t>
        </w:r>
      </w:hyperlink>
      <w:r>
        <w:rPr>
          <w:rFonts w:ascii="Times New Roman" w:hAnsi="Times New Roman"/>
          <w:b w:val="false"/>
          <w:i w:val="false"/>
          <w:color w:val="000000"/>
          <w:sz w:val="22"/>
        </w:rPr>
        <w:t xml:space="preserve"> and may issue a tax credit certificate to the housing business stating the amount of workforce housing investment tax credits under rule </w:t>
      </w:r>
      <w:hyperlink r:id="rId41">
        <w:r>
          <w:rPr>
            <w:rStyle w:val="Hyperlink"/>
            <w:rFonts w:ascii="Times New Roman" w:hAnsi="Times New Roman"/>
            <w:b w:val="false"/>
            <w:i w:val="false"/>
            <w:color w:val="000000"/>
            <w:sz w:val="22"/>
          </w:rPr>
          <w:t>261—48.6</w:t>
        </w:r>
      </w:hyperlink>
      <w:r>
        <w:rPr>
          <w:rFonts w:ascii="Times New Roman" w:hAnsi="Times New Roman"/>
          <w:b w:val="false"/>
          <w:i w:val="false"/>
          <w:color w:val="000000"/>
          <w:sz w:val="22"/>
        </w:rPr>
        <w:t>(15) that the eligible housing business may claim. The sum of the amount that the housing business may claim as a refund of the sales and use tax and the amount of the tax credit certificate shall not exceed the amount of the tax incentive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review of the examination in </w:t>
      </w:r>
      <w:hyperlink r:id="rId42">
        <w:r>
          <w:rPr>
            <w:rStyle w:val="Hyperlink"/>
            <w:rFonts w:ascii="Times New Roman" w:hAnsi="Times New Roman"/>
            <w:b w:val="false"/>
            <w:i w:val="false"/>
            <w:color w:val="000000"/>
            <w:sz w:val="22"/>
          </w:rPr>
          <w:t>paragraph 48.5(3)</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authority determines that a housing project has incurred project costs in excess of the amount submitted in the application and identified in the agreement, the authority shall do one of the following for projects that received a refund notice or tax credit certificate on or after July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project costs do not cause the housing project’s average dwelling unit cost to exceed the applicable maximum amount authorized in rule </w:t>
      </w:r>
      <w:hyperlink r:id="rId43">
        <w:r>
          <w:rPr>
            <w:rStyle w:val="Hyperlink"/>
            <w:rFonts w:ascii="Times New Roman" w:hAnsi="Times New Roman"/>
            <w:b w:val="false"/>
            <w:i w:val="false"/>
            <w:color w:val="000000"/>
            <w:sz w:val="22"/>
          </w:rPr>
          <w:t>261—48.4</w:t>
        </w:r>
      </w:hyperlink>
      <w:r>
        <w:rPr>
          <w:rFonts w:ascii="Times New Roman" w:hAnsi="Times New Roman"/>
          <w:b w:val="false"/>
          <w:i w:val="false"/>
          <w:color w:val="000000"/>
          <w:sz w:val="22"/>
        </w:rPr>
        <w:t xml:space="preserve">(15), the authority may consider the agreement fulfilled and may issue a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project costs cause the housing project’s average dwelling cost to exceed the applicable maximum amount authorized in rule </w:t>
      </w:r>
      <w:hyperlink r:id="rId44">
        <w:r>
          <w:rPr>
            <w:rStyle w:val="Hyperlink"/>
            <w:rFonts w:ascii="Times New Roman" w:hAnsi="Times New Roman"/>
            <w:b w:val="false"/>
            <w:i w:val="false"/>
            <w:color w:val="000000"/>
            <w:sz w:val="22"/>
          </w:rPr>
          <w:t>261—48.4</w:t>
        </w:r>
      </w:hyperlink>
      <w:r>
        <w:rPr>
          <w:rFonts w:ascii="Times New Roman" w:hAnsi="Times New Roman"/>
          <w:b w:val="false"/>
          <w:i w:val="false"/>
          <w:color w:val="000000"/>
          <w:sz w:val="22"/>
        </w:rPr>
        <w:t xml:space="preserve">(15) but do not cause the average dwelling unit cost to exceed 150 percent of such applicable amount, the authority shall reduce the tax incentive award and the corresponding amount of tax incentives the eligible project may claim under rule </w:t>
      </w:r>
      <w:hyperlink r:id="rId45">
        <w:r>
          <w:rPr>
            <w:rStyle w:val="Hyperlink"/>
            <w:rFonts w:ascii="Times New Roman" w:hAnsi="Times New Roman"/>
            <w:b w:val="false"/>
            <w:i w:val="false"/>
            <w:color w:val="000000"/>
            <w:sz w:val="22"/>
          </w:rPr>
          <w:t>261—48.6</w:t>
        </w:r>
      </w:hyperlink>
      <w:r>
        <w:rPr>
          <w:rFonts w:ascii="Times New Roman" w:hAnsi="Times New Roman"/>
          <w:b w:val="false"/>
          <w:i w:val="false"/>
          <w:color w:val="000000"/>
          <w:sz w:val="22"/>
        </w:rPr>
        <w:t xml:space="preserve">(15) by the same percentage that the housing project’s average dwelling cost exceeds the applicable maximum amount under rule </w:t>
      </w:r>
      <w:hyperlink r:id="rId46">
        <w:r>
          <w:rPr>
            <w:rStyle w:val="Hyperlink"/>
            <w:rFonts w:ascii="Times New Roman" w:hAnsi="Times New Roman"/>
            <w:b w:val="false"/>
            <w:i w:val="false"/>
            <w:color w:val="000000"/>
            <w:sz w:val="22"/>
          </w:rPr>
          <w:t>261—48.4</w:t>
        </w:r>
      </w:hyperlink>
      <w:r>
        <w:rPr>
          <w:rFonts w:ascii="Times New Roman" w:hAnsi="Times New Roman"/>
          <w:b w:val="false"/>
          <w:i w:val="false"/>
          <w:color w:val="000000"/>
          <w:sz w:val="22"/>
        </w:rPr>
        <w:t xml:space="preserve">(15), and such tax incentive reduction shall be reflected on the tax credit certificate. If the authority issues a certificate pursuant to this subrule, the department of revenue shall accept the certificate notwithstanding that the housing project’s average dwelling unit cost exceeds the maximum amount specified in rule </w:t>
      </w:r>
      <w:hyperlink r:id="rId47">
        <w:r>
          <w:rPr>
            <w:rStyle w:val="Hyperlink"/>
            <w:rFonts w:ascii="Times New Roman" w:hAnsi="Times New Roman"/>
            <w:b w:val="false"/>
            <w:i w:val="false"/>
            <w:color w:val="000000"/>
            <w:sz w:val="22"/>
          </w:rPr>
          <w:t>261—48.4</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project costs cause the housing project’s average dwelling unit cost to exceed 150 percent of the applicable maximum amount authorized in rule </w:t>
      </w:r>
      <w:hyperlink r:id="rId48">
        <w:r>
          <w:rPr>
            <w:rStyle w:val="Hyperlink"/>
            <w:rFonts w:ascii="Times New Roman" w:hAnsi="Times New Roman"/>
            <w:b w:val="false"/>
            <w:i w:val="false"/>
            <w:color w:val="000000"/>
            <w:sz w:val="22"/>
          </w:rPr>
          <w:t>261—48.4</w:t>
        </w:r>
      </w:hyperlink>
      <w:r>
        <w:rPr>
          <w:rFonts w:ascii="Times New Roman" w:hAnsi="Times New Roman"/>
          <w:b w:val="false"/>
          <w:i w:val="false"/>
          <w:color w:val="000000"/>
          <w:sz w:val="22"/>
        </w:rPr>
        <w:t xml:space="preserve">(15), the authority shall determine the eligible housing business to be in default under the agreement, shall revoke the tax incentive award and shall not issue a tax credit certificate. The housing business shall not be allowed a refund of sales and use tax under rule </w:t>
      </w:r>
      <w:hyperlink r:id="rId49">
        <w:r>
          <w:rPr>
            <w:rStyle w:val="Hyperlink"/>
            <w:rFonts w:ascii="Times New Roman" w:hAnsi="Times New Roman"/>
            <w:b w:val="false"/>
            <w:i w:val="false"/>
            <w:color w:val="000000"/>
            <w:sz w:val="22"/>
          </w:rPr>
          <w:t>261—48.6</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48.5(4)</w:t>
      </w:r>
      <w:r>
        <w:rPr>
          <w:rFonts w:ascii="Times New Roman" w:hAnsi="Times New Roman"/>
          <w:b w:val="false"/>
          <w:i w:val="false"/>
          <w:color w:val="000000"/>
          <w:sz w:val="22"/>
        </w:rPr>
        <w:t> </w:t>
      </w:r>
      <w:r>
        <w:rPr>
          <w:rFonts w:ascii="Times New Roman" w:hAnsi="Times New Roman"/>
          <w:b w:val="false"/>
          <w:i/>
          <w:color w:val="000000"/>
          <w:sz w:val="22"/>
        </w:rPr>
        <w:t xml:space="preserve">Maximum incentives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aggregate amount of tax incentives that may be awarded under rule </w:t>
      </w:r>
      <w:hyperlink r:id="rId50">
        <w:r>
          <w:rPr>
            <w:rStyle w:val="Hyperlink"/>
            <w:rFonts w:ascii="Times New Roman" w:hAnsi="Times New Roman"/>
            <w:b w:val="false"/>
            <w:i w:val="false"/>
            <w:color w:val="000000"/>
            <w:sz w:val="22"/>
          </w:rPr>
          <w:t>261—48.6</w:t>
        </w:r>
      </w:hyperlink>
      <w:r>
        <w:rPr>
          <w:rFonts w:ascii="Times New Roman" w:hAnsi="Times New Roman"/>
          <w:b w:val="false"/>
          <w:i w:val="false"/>
          <w:color w:val="000000"/>
          <w:sz w:val="22"/>
        </w:rPr>
        <w:t>(15) to a housing business for a housing project shall not exceed $1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housing business qualifies for a higher amount of tax incentives under rule </w:t>
      </w:r>
      <w:hyperlink r:id="rId51">
        <w:r>
          <w:rPr>
            <w:rStyle w:val="Hyperlink"/>
            <w:rFonts w:ascii="Times New Roman" w:hAnsi="Times New Roman"/>
            <w:b w:val="false"/>
            <w:i w:val="false"/>
            <w:color w:val="000000"/>
            <w:sz w:val="22"/>
          </w:rPr>
          <w:t>261—48.6</w:t>
        </w:r>
      </w:hyperlink>
      <w:r>
        <w:rPr>
          <w:rFonts w:ascii="Times New Roman" w:hAnsi="Times New Roman"/>
          <w:b w:val="false"/>
          <w:i w:val="false"/>
          <w:color w:val="000000"/>
          <w:sz w:val="22"/>
        </w:rPr>
        <w:t xml:space="preserve">(15) than is allowed by the limitation imposed in paragraph </w:t>
      </w:r>
      <w:hyperlink r:id="rId52">
        <w:r>
          <w:rPr>
            <w:rStyle w:val="Hyperlink"/>
            <w:rFonts w:ascii="Times New Roman" w:hAnsi="Times New Roman"/>
            <w:b w:val="false"/>
            <w:i w:val="false"/>
            <w:color w:val="000000"/>
            <w:sz w:val="22"/>
          </w:rPr>
          <w:t>48.5(4)</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authority and the housing business may negotiate an apportionment of the reduction in tax incentives between the sales tax refund provided in subrule </w:t>
      </w:r>
      <w:hyperlink r:id="rId53">
        <w:r>
          <w:rPr>
            <w:rStyle w:val="Hyperlink"/>
            <w:rFonts w:ascii="Times New Roman" w:hAnsi="Times New Roman"/>
            <w:b w:val="false"/>
            <w:i w:val="false"/>
            <w:color w:val="000000"/>
            <w:sz w:val="22"/>
          </w:rPr>
          <w:t>48.6(2)</w:t>
        </w:r>
      </w:hyperlink>
      <w:r>
        <w:rPr>
          <w:rFonts w:ascii="Times New Roman" w:hAnsi="Times New Roman"/>
          <w:b w:val="false"/>
          <w:i w:val="false"/>
          <w:color w:val="000000"/>
          <w:sz w:val="22"/>
        </w:rPr>
        <w:t xml:space="preserve"> and the workforce housing investment tax credits provided in subrule </w:t>
      </w:r>
      <w:hyperlink r:id="rId54">
        <w:r>
          <w:rPr>
            <w:rStyle w:val="Hyperlink"/>
            <w:rFonts w:ascii="Times New Roman" w:hAnsi="Times New Roman"/>
            <w:b w:val="false"/>
            <w:i w:val="false"/>
            <w:color w:val="000000"/>
            <w:sz w:val="22"/>
          </w:rPr>
          <w:t>48.6(3)</w:t>
        </w:r>
      </w:hyperlink>
      <w:r>
        <w:rPr>
          <w:rFonts w:ascii="Times New Roman" w:hAnsi="Times New Roman"/>
          <w:b w:val="false"/>
          <w:i w:val="false"/>
          <w:color w:val="000000"/>
          <w:sz w:val="22"/>
        </w:rPr>
        <w:t xml:space="preserve"> provided the total aggregate amount of tax incentives after the apportioned reduction does not exceed the amount in paragraph </w:t>
      </w:r>
      <w:hyperlink r:id="rId55">
        <w:r>
          <w:rPr>
            <w:rStyle w:val="Hyperlink"/>
            <w:rFonts w:ascii="Times New Roman" w:hAnsi="Times New Roman"/>
            <w:b w:val="false"/>
            <w:i w:val="false"/>
            <w:color w:val="000000"/>
            <w:sz w:val="22"/>
          </w:rPr>
          <w:t>48.5(4)</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issue tax incentives under the program on a first-come, first-served basis until the maximum amount of tax incentives allocated pursuant to Iowa Code section </w:t>
      </w:r>
      <w:hyperlink r:id="rId56">
        <w:r>
          <w:rPr>
            <w:rStyle w:val="Hyperlink"/>
            <w:rFonts w:ascii="Times New Roman" w:hAnsi="Times New Roman"/>
            <w:b w:val="false"/>
            <w:i w:val="false"/>
            <w:color w:val="000000"/>
            <w:sz w:val="22"/>
          </w:rPr>
          <w:t>15.119(2)</w:t>
        </w:r>
      </w:hyperlink>
      <w:r>
        <w:rPr>
          <w:rFonts w:ascii="Times New Roman" w:hAnsi="Times New Roman"/>
          <w:b w:val="false"/>
          <w:i w:val="false"/>
          <w:color w:val="000000"/>
          <w:sz w:val="22"/>
        </w:rPr>
        <w:t xml:space="preserve"> is reached. The authority shall maintain a list of registered housing projects under the program so that if the maximum aggregate amount of tax incentives is reached in a given fiscal year, registered housing projects that were completed but for which tax incentives were not issued shall be placed on a wait list in the order the registered housing projects were registered and shall be given priority for receiving tax incentives in succeeding fiscal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w:t>
      </w:r>
      <w:r>
        <w:rPr>
          <w:rFonts w:ascii="Times New Roman" w:hAnsi="Times New Roman"/>
          <w:b w:val="false"/>
          <w:i w:val="false"/>
          <w:color w:val="000000"/>
          <w:sz w:val="22"/>
        </w:rPr>
        <w:t> </w:t>
      </w:r>
      <w:r>
        <w:rPr>
          <w:rFonts w:ascii="Times New Roman" w:hAnsi="Times New Roman"/>
          <w:b w:val="false"/>
          <w:i/>
          <w:color w:val="000000"/>
          <w:sz w:val="22"/>
        </w:rPr>
        <w:t xml:space="preserve">Termination and repayment. </w:t>
      </w:r>
      <w:r>
        <w:rPr>
          <w:rFonts w:ascii="Times New Roman" w:hAnsi="Times New Roman"/>
          <w:b w:val="false"/>
          <w:i w:val="false"/>
          <w:color w:val="000000"/>
          <w:sz w:val="22"/>
        </w:rPr>
        <w:t xml:space="preserve">The failure by a housing business in completing a housing project to comply with any requirement of this program or any of the terms and obligations of an agreement entered into pursuant to this rule may result in the reduction, termination, or rescission of the approved tax incentives and may subject the housing business to the repayment or recapture of tax incentives claimed under rule </w:t>
      </w:r>
      <w:hyperlink r:id="rId57">
        <w:r>
          <w:rPr>
            <w:rStyle w:val="Hyperlink"/>
            <w:rFonts w:ascii="Times New Roman" w:hAnsi="Times New Roman"/>
            <w:b w:val="false"/>
            <w:i w:val="false"/>
            <w:color w:val="000000"/>
            <w:sz w:val="22"/>
          </w:rPr>
          <w:t>261—48.6</w:t>
        </w:r>
      </w:hyperlink>
      <w:r>
        <w:rPr>
          <w:rFonts w:ascii="Times New Roman" w:hAnsi="Times New Roman"/>
          <w:b w:val="false"/>
          <w:i w:val="false"/>
          <w:color w:val="000000"/>
          <w:sz w:val="22"/>
        </w:rPr>
        <w:t xml:space="preserve">(15). The repayment or recapture of tax incentives pursuant to this rule shall be accomplished in the same manner as provided in Iowa Code section </w:t>
      </w:r>
      <w:hyperlink r:id="rId58">
        <w:r>
          <w:rPr>
            <w:rStyle w:val="Hyperlink"/>
            <w:rFonts w:ascii="Times New Roman" w:hAnsi="Times New Roman"/>
            <w:b w:val="false"/>
            <w:i w:val="false"/>
            <w:color w:val="000000"/>
            <w:sz w:val="22"/>
          </w:rPr>
          <w:t>15.330(2)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1801C</w:t>
      </w:r>
      <w:r>
        <w:rPr>
          <w:rFonts w:ascii="Times New Roman" w:hAnsi="Times New Roman"/>
          <w:b w:val="false"/>
          <w:i w:val="false"/>
          <w:color w:val="000000"/>
          <w:sz w:val="16"/>
        </w:rPr>
        <w:t>, IAB 12/24/14, effective 1/28/15</w:t>
      </w:r>
      <w:r>
        <w:rPr>
          <w:rFonts w:ascii="Times New Roman" w:hAnsi="Times New Roman"/>
          <w:b w:val="false"/>
          <w:i w:val="false"/>
          <w:color w:val="000000"/>
          <w:sz w:val="16"/>
        </w:rPr>
        <w:t xml:space="preserve">; </w:t>
      </w:r>
      <w:r>
        <w:rPr>
          <w:rFonts w:ascii="Times New Roman" w:hAnsi="Times New Roman"/>
          <w:b/>
          <w:i w:val="false"/>
          <w:color w:val="000000"/>
          <w:sz w:val="16"/>
        </w:rPr>
        <w:t>ARC 3581C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 xml:space="preserve">; </w:t>
      </w:r>
      <w:r>
        <w:rPr>
          <w:rFonts w:ascii="Times New Roman" w:hAnsi="Times New Roman"/>
          <w:b/>
          <w:i w:val="false"/>
          <w:color w:val="000000"/>
          <w:sz w:val="16"/>
        </w:rPr>
        <w:t>ARC 4510C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i w:val="false"/>
          <w:color w:val="000000"/>
          <w:sz w:val="16"/>
        </w:rPr>
        <w:t>ARC 5139C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i w:val="false"/>
          <w:color w:val="000000"/>
          <w:sz w:val="16"/>
        </w:rPr>
        <w:t>ARC 6086C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6467C</w:t>
      </w:r>
      <w:r>
        <w:rPr>
          <w:rFonts w:ascii="Times New Roman" w:hAnsi="Times New Roman"/>
          <w:b w:val="false"/>
          <w:i w:val="false"/>
          <w:color w:val="000000"/>
          <w:sz w:val="16"/>
        </w:rPr>
        <w:t>, IAB 8/24/22, effective 9/28/22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261—48.6</w:t>
      </w:r>
      <w:r>
        <w:rPr>
          <w:rFonts w:ascii="Times New Roman" w:hAnsi="Times New Roman"/>
          <w:b/>
          <w:i w:val="false"/>
          <w:color w:val="000000"/>
          <w:sz w:val="22"/>
        </w:rPr>
        <w:t xml:space="preserve">(15) </w:t>
      </w:r>
      <w:r>
        <w:rPr>
          <w:rFonts w:ascii="Times New Roman" w:hAnsi="Times New Roman"/>
          <w:b/>
          <w:i w:val="false"/>
          <w:color w:val="000000"/>
          <w:sz w:val="22"/>
        </w:rPr>
        <w:t xml:space="preserve">Workforce housing tax incentives.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48.6(1)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A housing business that has entered into an agreement pursuant to rule </w:t>
      </w:r>
      <w:hyperlink r:id="rId59">
        <w:r>
          <w:rPr>
            <w:rStyle w:val="Hyperlink"/>
            <w:rFonts w:ascii="Times New Roman" w:hAnsi="Times New Roman"/>
            <w:b w:val="false"/>
            <w:i w:val="false"/>
            <w:color w:val="000000"/>
            <w:sz w:val="22"/>
          </w:rPr>
          <w:t>261—48.5</w:t>
        </w:r>
      </w:hyperlink>
      <w:r>
        <w:rPr>
          <w:rFonts w:ascii="Times New Roman" w:hAnsi="Times New Roman"/>
          <w:b w:val="false"/>
          <w:i w:val="false"/>
          <w:color w:val="000000"/>
          <w:sz w:val="22"/>
        </w:rPr>
        <w:t xml:space="preserve">(15) is eligible to receive the tax incentives described in subrules </w:t>
      </w:r>
      <w:hyperlink r:id="rId60">
        <w:r>
          <w:rPr>
            <w:rStyle w:val="Hyperlink"/>
            <w:rFonts w:ascii="Times New Roman" w:hAnsi="Times New Roman"/>
            <w:b w:val="false"/>
            <w:i w:val="false"/>
            <w:color w:val="000000"/>
            <w:sz w:val="22"/>
          </w:rPr>
          <w:t>48.6(2)</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48.6(3)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48.6(2)</w:t>
      </w:r>
      <w:r>
        <w:rPr>
          <w:rFonts w:ascii="Times New Roman" w:hAnsi="Times New Roman"/>
          <w:b w:val="false"/>
          <w:i w:val="false"/>
          <w:color w:val="000000"/>
          <w:sz w:val="22"/>
        </w:rPr>
        <w:t> </w:t>
      </w:r>
      <w:r>
        <w:rPr>
          <w:rFonts w:ascii="Times New Roman" w:hAnsi="Times New Roman"/>
          <w:b w:val="false"/>
          <w:i/>
          <w:color w:val="000000"/>
          <w:sz w:val="22"/>
        </w:rPr>
        <w:t xml:space="preserve">Sales tax refunds. </w:t>
      </w:r>
      <w:r>
        <w:rPr>
          <w:rFonts w:ascii="Times New Roman" w:hAnsi="Times New Roman"/>
          <w:b w:val="false"/>
          <w:i w:val="false"/>
          <w:color w:val="000000"/>
          <w:sz w:val="22"/>
        </w:rPr>
        <w:t xml:space="preserve">A housing business may claim a refund of the sales and use taxes paid under Iowa Code chapter </w:t>
      </w:r>
      <w:hyperlink r:id="rId62">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that are directly related to a housing project and specified in the agreement. The refund available pursuant to this subrule shall be as provided in Iowa Code section </w:t>
      </w:r>
      <w:hyperlink r:id="rId63">
        <w:r>
          <w:rPr>
            <w:rStyle w:val="Hyperlink"/>
            <w:rFonts w:ascii="Times New Roman" w:hAnsi="Times New Roman"/>
            <w:b w:val="false"/>
            <w:i w:val="false"/>
            <w:color w:val="000000"/>
            <w:sz w:val="22"/>
          </w:rPr>
          <w:t>15.331A</w:t>
        </w:r>
      </w:hyperlink>
      <w:r>
        <w:rPr>
          <w:rFonts w:ascii="Times New Roman" w:hAnsi="Times New Roman"/>
          <w:b w:val="false"/>
          <w:i w:val="false"/>
          <w:color w:val="000000"/>
          <w:sz w:val="22"/>
        </w:rPr>
        <w:t xml:space="preserve"> to the extent applicable for purposes of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48.6(3)</w:t>
      </w:r>
      <w:r>
        <w:rPr>
          <w:rFonts w:ascii="Times New Roman" w:hAnsi="Times New Roman"/>
          <w:b w:val="false"/>
          <w:i w:val="false"/>
          <w:color w:val="000000"/>
          <w:sz w:val="22"/>
        </w:rPr>
        <w:t> </w:t>
      </w:r>
      <w:r>
        <w:rPr>
          <w:rFonts w:ascii="Times New Roman" w:hAnsi="Times New Roman"/>
          <w:b w:val="false"/>
          <w:i/>
          <w:color w:val="000000"/>
          <w:sz w:val="22"/>
        </w:rPr>
        <w:t xml:space="preserve">Income tax credits.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housing business may claim a tax credit in an amount not to exceed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housing project not located in a small city, 10 percent of the qualifying new investment of a housing project specified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housing project located in a small city, 20 percent of the qualifying new investment of a housing project specified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 credit shall be allowed against the taxes imposed in Iowa Code chapter </w:t>
      </w:r>
      <w:hyperlink r:id="rId64">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subchapters II, III, and V, and in Iowa Code chapter </w:t>
      </w:r>
      <w:hyperlink r:id="rId65">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and against the moneys and credits tax imposed in Iowa Code section </w:t>
      </w:r>
      <w:hyperlink r:id="rId66">
        <w:r>
          <w:rPr>
            <w:rStyle w:val="Hyperlink"/>
            <w:rFonts w:ascii="Times New Roman" w:hAnsi="Times New Roman"/>
            <w:b w:val="false"/>
            <w:i w:val="false"/>
            <w:color w:val="000000"/>
            <w:sz w:val="22"/>
          </w:rPr>
          <w:t>533.329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claim a tax credit under this subrule, a taxpayer shall file a claim with the department of revenue pursuant to the department’s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Tax credit certificates issued under an agreement entered into pursuant to subrule </w:t>
      </w:r>
      <w:hyperlink r:id="rId67">
        <w:r>
          <w:rPr>
            <w:rStyle w:val="Hyperlink"/>
            <w:rFonts w:ascii="Times New Roman" w:hAnsi="Times New Roman"/>
            <w:b w:val="false"/>
            <w:i w:val="false"/>
            <w:color w:val="000000"/>
            <w:sz w:val="22"/>
          </w:rPr>
          <w:t>48.5(3)</w:t>
        </w:r>
      </w:hyperlink>
      <w:r>
        <w:rPr>
          <w:rFonts w:ascii="Times New Roman" w:hAnsi="Times New Roman"/>
          <w:b w:val="false"/>
          <w:i w:val="false"/>
          <w:color w:val="000000"/>
          <w:sz w:val="22"/>
        </w:rPr>
        <w:t xml:space="preserve"> may be transferred to any person pursuant to the department’s applicable rules. However, tax credit certificate amounts of less than $1,000 shall not be transferable.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1801C</w:t>
      </w:r>
      <w:r>
        <w:rPr>
          <w:rFonts w:ascii="Times New Roman" w:hAnsi="Times New Roman"/>
          <w:b w:val="false"/>
          <w:i w:val="false"/>
          <w:color w:val="000000"/>
          <w:sz w:val="16"/>
        </w:rPr>
        <w:t>, IAB 12/24/14, effective 1/28/15</w:t>
      </w:r>
      <w:r>
        <w:rPr>
          <w:rFonts w:ascii="Times New Roman" w:hAnsi="Times New Roman"/>
          <w:b w:val="false"/>
          <w:i w:val="false"/>
          <w:color w:val="000000"/>
          <w:sz w:val="16"/>
        </w:rPr>
        <w:t xml:space="preserve">; </w:t>
      </w:r>
      <w:r>
        <w:rPr>
          <w:rFonts w:ascii="Times New Roman" w:hAnsi="Times New Roman"/>
          <w:b/>
          <w:i w:val="false"/>
          <w:color w:val="000000"/>
          <w:sz w:val="16"/>
        </w:rPr>
        <w:t>ARC 3581C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 xml:space="preserve">; </w:t>
      </w:r>
      <w:r>
        <w:rPr>
          <w:rFonts w:ascii="Times New Roman" w:hAnsi="Times New Roman"/>
          <w:b/>
          <w:i w:val="false"/>
          <w:color w:val="000000"/>
          <w:sz w:val="16"/>
        </w:rPr>
        <w:t>ARC 5139C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i w:val="false"/>
          <w:color w:val="000000"/>
          <w:sz w:val="16"/>
        </w:rPr>
        <w:t>ARC 6086C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261—48.7</w:t>
      </w:r>
      <w:r>
        <w:rPr>
          <w:rFonts w:ascii="Times New Roman" w:hAnsi="Times New Roman"/>
          <w:b/>
          <w:i w:val="false"/>
          <w:color w:val="000000"/>
          <w:sz w:val="22"/>
        </w:rPr>
        <w:t xml:space="preserve">(15) </w:t>
      </w:r>
      <w:r>
        <w:rPr>
          <w:rFonts w:ascii="Times New Roman" w:hAnsi="Times New Roman"/>
          <w:b/>
          <w:i w:val="false"/>
          <w:color w:val="000000"/>
          <w:sz w:val="22"/>
        </w:rPr>
        <w:t xml:space="preserve">Annual program funding allocation, reallocation, and management of excess demand.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year the authority will allocate to the program a portion of the maximum aggregate tax credit cap described in Iowa Code section </w:t>
      </w:r>
      <w:hyperlink r:id="rId68">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48.7(2)</w:t>
      </w:r>
      <w:r>
        <w:rPr>
          <w:rFonts w:ascii="Times New Roman" w:hAnsi="Times New Roman"/>
          <w:b w:val="false"/>
          <w:i w:val="false"/>
          <w:color w:val="000000"/>
          <w:sz w:val="22"/>
        </w:rPr>
        <w:t> </w:t>
      </w:r>
      <w:r>
        <w:rPr>
          <w:rFonts w:ascii="Times New Roman" w:hAnsi="Times New Roman"/>
          <w:b w:val="false"/>
          <w:i w:val="false"/>
          <w:color w:val="000000"/>
          <w:sz w:val="22"/>
        </w:rPr>
        <w:t xml:space="preserve">If, during a fiscal year, the authority determines that program demand is less than the amount initially allocated, the authority may reallocate unused amounts to other programs under Iowa Code section </w:t>
      </w:r>
      <w:hyperlink r:id="rId69">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1801C</w:t>
      </w:r>
      <w:r>
        <w:rPr>
          <w:rFonts w:ascii="Times New Roman" w:hAnsi="Times New Roman"/>
          <w:b w:val="false"/>
          <w:i w:val="false"/>
          <w:color w:val="000000"/>
          <w:sz w:val="16"/>
        </w:rPr>
        <w:t>, IAB 12/24/14, effective 1/28/15</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5139C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261—48.8</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submittal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develop a standardized application and make the application available to eligible housing businesses and to communities. To apply for assistance under the program, an interested person shall submit an application to the authority. Applications must be submitted online at </w:t>
      </w:r>
      <w:hyperlink r:id="rId70">
        <w:r>
          <w:rPr>
            <w:rStyle w:val="Hyperlink"/>
            <w:rFonts w:ascii="Times New Roman" w:hAnsi="Times New Roman"/>
            <w:b w:val="false"/>
            <w:i w:val="false"/>
            <w:color w:val="000000"/>
            <w:sz w:val="22"/>
            <w:u w:val="single"/>
          </w:rPr>
          <w:t>www.iowagrants.gov</w:t>
        </w:r>
      </w:hyperlink>
      <w:r>
        <w:rPr>
          <w:rFonts w:ascii="Times New Roman" w:hAnsi="Times New Roman"/>
          <w:b w:val="false"/>
          <w:i w:val="false"/>
          <w:color w:val="000000"/>
          <w:sz w:val="22"/>
        </w:rPr>
        <w:t xml:space="preserve">. Instructions for application submission may be obtained at </w:t>
      </w:r>
      <w:hyperlink r:id="rId71">
        <w:r>
          <w:rPr>
            <w:rStyle w:val="Hyperlink"/>
            <w:rFonts w:ascii="Times New Roman" w:hAnsi="Times New Roman"/>
            <w:b w:val="false"/>
            <w:i w:val="false"/>
            <w:color w:val="000000"/>
            <w:sz w:val="22"/>
            <w:u w:val="single"/>
          </w:rPr>
          <w:t>www.iowagrants.gov</w:t>
        </w:r>
      </w:hyperlink>
      <w:r>
        <w:rPr>
          <w:rFonts w:ascii="Times New Roman" w:hAnsi="Times New Roman"/>
          <w:b w:val="false"/>
          <w:i w:val="false"/>
          <w:color w:val="000000"/>
          <w:sz w:val="22"/>
        </w:rPr>
        <w:t xml:space="preserve"> or by contacting the Community Development Division, Economic Development Authority, 1963 Bell Avenue, Suite 200, Des Moines, Iowa 50315.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48.8(2)</w:t>
      </w:r>
      <w:r>
        <w:rPr>
          <w:rFonts w:ascii="Times New Roman" w:hAnsi="Times New Roman"/>
          <w:b w:val="false"/>
          <w:i w:val="false"/>
          <w:color w:val="000000"/>
          <w:sz w:val="22"/>
        </w:rPr>
        <w:t> </w:t>
      </w:r>
      <w:r>
        <w:rPr>
          <w:rFonts w:ascii="Times New Roman" w:hAnsi="Times New Roman"/>
          <w:b w:val="false"/>
          <w:i w:val="false"/>
          <w:color w:val="000000"/>
          <w:sz w:val="22"/>
        </w:rPr>
        <w:t>The authority has final decision-making authority on requests for financial assistance for this program. Applications will be reviewed and scored by the staff of the authority. The director or the director’s designee will make final funding decisions after considering the recommendations of staff. The director may approve, defer or deny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1801C</w:t>
      </w:r>
      <w:r>
        <w:rPr>
          <w:rFonts w:ascii="Times New Roman" w:hAnsi="Times New Roman"/>
          <w:b w:val="false"/>
          <w:i w:val="false"/>
          <w:color w:val="000000"/>
          <w:sz w:val="16"/>
        </w:rPr>
        <w:t>, IAB 12/24/14, effective 1/28/15</w:t>
      </w:r>
      <w:r>
        <w:rPr>
          <w:rFonts w:ascii="Times New Roman" w:hAnsi="Times New Roman"/>
          <w:b w:val="false"/>
          <w:i w:val="false"/>
          <w:color w:val="000000"/>
          <w:sz w:val="16"/>
        </w:rPr>
        <w:t xml:space="preserve">; </w:t>
      </w:r>
      <w:r>
        <w:rPr>
          <w:rFonts w:ascii="Times New Roman" w:hAnsi="Times New Roman"/>
          <w:b/>
          <w:i w:val="false"/>
          <w:color w:val="000000"/>
          <w:sz w:val="16"/>
        </w:rPr>
        <w:t>ARC 6086C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DISASTER RECOVERY HOUSING PROGRAM</w:t>
      </w:r>
    </w:p>
    <w:p>
      <w:pPr>
        <w:spacing w:before="0" w:after="0"/>
        <w:ind w:left="120"/>
        <w:jc w:val="both"/>
      </w:pPr>
      <w:r>
        <w:rPr>
          <w:rFonts w:ascii="Times New Roman" w:hAnsi="Times New Roman"/>
          <w:b/>
          <w:i w:val="false"/>
          <w:color w:val="000000"/>
          <w:sz w:val="22"/>
        </w:rPr>
        <w:t>261—48.9</w:t>
      </w:r>
      <w:r>
        <w:rPr>
          <w:rFonts w:ascii="Times New Roman" w:hAnsi="Times New Roman"/>
          <w:b/>
          <w:i w:val="false"/>
          <w:color w:val="000000"/>
          <w:sz w:val="22"/>
        </w:rPr>
        <w:t xml:space="preserve">(15) </w:t>
      </w:r>
      <w:r>
        <w:rPr>
          <w:rFonts w:ascii="Times New Roman" w:hAnsi="Times New Roman"/>
          <w:b/>
          <w:i w:val="false"/>
          <w:color w:val="000000"/>
          <w:sz w:val="22"/>
        </w:rPr>
        <w:t xml:space="preserve">Housing project minimum requirements. </w:t>
      </w:r>
      <w:r>
        <w:rPr>
          <w:rFonts w:ascii="Times New Roman" w:hAnsi="Times New Roman"/>
          <w:b w:val="false"/>
          <w:i w:val="false"/>
          <w:color w:val="000000"/>
          <w:sz w:val="22"/>
        </w:rPr>
        <w:t>To receive disaster recovery housing tax incentives pursuant to the program, a proposed disaster recovery housing project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48.9(1)</w:t>
      </w:r>
      <w:r>
        <w:rPr>
          <w:rFonts w:ascii="Times New Roman" w:hAnsi="Times New Roman"/>
          <w:b w:val="false"/>
          <w:i w:val="false"/>
          <w:color w:val="000000"/>
          <w:sz w:val="22"/>
        </w:rPr>
        <w:t> </w:t>
      </w:r>
      <w:r>
        <w:rPr>
          <w:rFonts w:ascii="Times New Roman" w:hAnsi="Times New Roman"/>
          <w:b w:val="false"/>
          <w:i w:val="false"/>
          <w:color w:val="000000"/>
          <w:sz w:val="22"/>
        </w:rPr>
        <w:t>The project includes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Four or more single-family dwelling units, except for a project located in a small city, then two or more single-family dwelling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or more multiple dwelling unit buildings each containing three or more individual dwelling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or more dwelling units located in the upper story of an existing multi-use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48.9(2)</w:t>
      </w:r>
      <w:r>
        <w:rPr>
          <w:rFonts w:ascii="Times New Roman" w:hAnsi="Times New Roman"/>
          <w:b w:val="false"/>
          <w:i w:val="false"/>
          <w:color w:val="000000"/>
          <w:sz w:val="22"/>
        </w:rPr>
        <w:t> </w:t>
      </w:r>
      <w:r>
        <w:rPr>
          <w:rFonts w:ascii="Times New Roman" w:hAnsi="Times New Roman"/>
          <w:b w:val="false"/>
          <w:i w:val="false"/>
          <w:color w:val="000000"/>
          <w:sz w:val="22"/>
        </w:rPr>
        <w:t>The project consists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Rehabilitation, repair, or redevelopment at a brownfield site or grayfield site that results in new dwelling units. Redevelopment at a brownfield site or grayfield site includes construction of new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rehabilitation, repair, or redevelopment of dilapidated dwelling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rehabilitation, repair, or redevelopment of dwelling units located in the upper story of an existing multi-use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project located in a small city that meets the minimum housing project requirements under this subrule, development at a greenfield 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 disaster recovery housing project, development at a greenfield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dwelling unit cost does not exceed the applicable maximum amount established by the board pursuant to rule </w:t>
      </w:r>
      <w:hyperlink r:id="rId72">
        <w:r>
          <w:rPr>
            <w:rStyle w:val="Hyperlink"/>
            <w:rFonts w:ascii="Times New Roman" w:hAnsi="Times New Roman"/>
            <w:b w:val="false"/>
            <w:i w:val="false"/>
            <w:color w:val="000000"/>
            <w:sz w:val="22"/>
          </w:rPr>
          <w:t>261—48.4</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48.9(4)</w:t>
      </w:r>
      <w:r>
        <w:rPr>
          <w:rFonts w:ascii="Times New Roman" w:hAnsi="Times New Roman"/>
          <w:b w:val="false"/>
          <w:i w:val="false"/>
          <w:color w:val="000000"/>
          <w:sz w:val="22"/>
        </w:rPr>
        <w:t> </w:t>
      </w:r>
      <w:r>
        <w:rPr>
          <w:rFonts w:ascii="Times New Roman" w:hAnsi="Times New Roman"/>
          <w:b w:val="false"/>
          <w:i w:val="false"/>
          <w:color w:val="000000"/>
          <w:sz w:val="22"/>
        </w:rPr>
        <w:t>The dwelling units, when completed and made available for occupancy, meet the U.S. Department of Housing and Urban Development’s housing quality standards and all applicable local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48.9(5)</w:t>
      </w:r>
      <w:r>
        <w:rPr>
          <w:rFonts w:ascii="Times New Roman" w:hAnsi="Times New Roman"/>
          <w:b w:val="false"/>
          <w:i w:val="false"/>
          <w:color w:val="000000"/>
          <w:sz w:val="22"/>
        </w:rPr>
        <w:t> </w:t>
      </w:r>
      <w:r>
        <w:rPr>
          <w:rFonts w:ascii="Times New Roman" w:hAnsi="Times New Roman"/>
          <w:b w:val="false"/>
          <w:i w:val="false"/>
          <w:color w:val="000000"/>
          <w:sz w:val="22"/>
        </w:rPr>
        <w:t>The project is not located in a 100-year floodplain.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4724C</w:t>
      </w:r>
      <w:r>
        <w:rPr>
          <w:rFonts w:ascii="Times New Roman" w:hAnsi="Times New Roman"/>
          <w:b w:val="false"/>
          <w:i w:val="false"/>
          <w:color w:val="000000"/>
          <w:sz w:val="16"/>
        </w:rPr>
        <w:t>, IAB 10/23/19, effective 10/3/19</w:t>
      </w:r>
      <w:r>
        <w:rPr>
          <w:rFonts w:ascii="Times New Roman" w:hAnsi="Times New Roman"/>
          <w:b w:val="false"/>
          <w:i w:val="false"/>
          <w:color w:val="000000"/>
          <w:sz w:val="16"/>
        </w:rPr>
        <w:t xml:space="preserve">; </w:t>
      </w:r>
      <w:r>
        <w:rPr>
          <w:rFonts w:ascii="Times New Roman" w:hAnsi="Times New Roman"/>
          <w:b/>
          <w:i w:val="false"/>
          <w:color w:val="000000"/>
          <w:sz w:val="16"/>
        </w:rPr>
        <w:t>ARC 6467C</w:t>
      </w:r>
      <w:r>
        <w:rPr>
          <w:rFonts w:ascii="Times New Roman" w:hAnsi="Times New Roman"/>
          <w:b w:val="false"/>
          <w:i w:val="false"/>
          <w:color w:val="000000"/>
          <w:sz w:val="16"/>
        </w:rPr>
        <w:t>, IAB 8/24/22, effective 9/28/22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261—48.10</w:t>
      </w:r>
      <w:r>
        <w:rPr>
          <w:rFonts w:ascii="Times New Roman" w:hAnsi="Times New Roman"/>
          <w:b/>
          <w:i w:val="false"/>
          <w:color w:val="000000"/>
          <w:sz w:val="22"/>
        </w:rPr>
        <w:t xml:space="preserve">(15) </w:t>
      </w:r>
      <w:r>
        <w:rPr>
          <w:rFonts w:ascii="Times New Roman" w:hAnsi="Times New Roman"/>
          <w:b/>
          <w:i w:val="false"/>
          <w:color w:val="000000"/>
          <w:sz w:val="22"/>
        </w:rPr>
        <w:t xml:space="preserve">Housing project application and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48.10(1)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housing business seeking disaster recovery housing tax incentives pursuant to rule </w:t>
      </w:r>
      <w:hyperlink r:id="rId73">
        <w:r>
          <w:rPr>
            <w:rStyle w:val="Hyperlink"/>
            <w:rFonts w:ascii="Times New Roman" w:hAnsi="Times New Roman"/>
            <w:b w:val="false"/>
            <w:i w:val="false"/>
            <w:color w:val="000000"/>
            <w:sz w:val="22"/>
          </w:rPr>
          <w:t>261—48.11</w:t>
        </w:r>
      </w:hyperlink>
      <w:r>
        <w:rPr>
          <w:rFonts w:ascii="Times New Roman" w:hAnsi="Times New Roman"/>
          <w:b w:val="false"/>
          <w:i w:val="false"/>
          <w:color w:val="000000"/>
          <w:sz w:val="22"/>
        </w:rPr>
        <w:t>(15) shall make application to the authority in the manner prescribed in this rule. The authority may establish a disaster recovery application period following the declaration of a major disaster by the President of the United States for a county in Iowa. The authority will acknowledge receipt of the application and review applications in a timely manner. The authority will notify applicants in writing of a tax incentive award for a disaster recovery housing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for disaster recovery housing tax incentives described in </w:t>
      </w:r>
      <w:hyperlink r:id="rId74">
        <w:r>
          <w:rPr>
            <w:rStyle w:val="Hyperlink"/>
            <w:rFonts w:ascii="Times New Roman" w:hAnsi="Times New Roman"/>
            <w:b w:val="false"/>
            <w:i w:val="false"/>
            <w:color w:val="000000"/>
            <w:sz w:val="22"/>
          </w:rPr>
          <w:t>paragraph 48.10(1)</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establishing local participation for the housing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resolution in support of the housing project by the community where the housing project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local matching funds pledged for the housing project in an amount equal to at least $1,000 per dwelling unit, including but not limited to a funding agreement between the housing business and the community where the housing project will be located. For purposes of this paragraph, local matching funds shall be in the form of cash or cash equivalents or in the form of a local property tax exemption, rebate, refund, 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that meets the requirements and conditions of Iowa Code section </w:t>
      </w:r>
      <w:hyperlink r:id="rId75">
        <w:r>
          <w:rPr>
            <w:rStyle w:val="Hyperlink"/>
            <w:rFonts w:ascii="Times New Roman" w:hAnsi="Times New Roman"/>
            <w:b w:val="false"/>
            <w:i w:val="false"/>
            <w:color w:val="000000"/>
            <w:sz w:val="22"/>
          </w:rPr>
          <w:t>15.330(9)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showing the total costs and funding sources of the housing project sufficient to allow the authority to adequately determine the financing that will be utilized for the housing project, the actual cost of the dwelling units, and the amount of qualifying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that the applicant’s housing project is located in a county that has been declared a major disaster by the President of the United States on or after March 12, 2019, and is also located in a county in which individuals are eligible for federal individual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that provides evidence that the housing project is needed due to impact of the disaster that is the subject of the presidential major disaster declaration.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Information showing that the housing project is located outside of a 100-year floodplain.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information deemed necessary by the authority to evaluate the eligibility and financial need of the housing project under the disaster recovery housing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48.10(2)</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review—tax incentive 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review and scoring of all applications received during a disaster recovery application period, the authority may make a tax incentive award to a disaster recovery housing project under the disaster recovery housing program. The tax incentive award shall represent the maximum amount of tax incentives that the disaster recovery housing project may qualify for under the program. In determining a tax incentive award, the authority shall not use an amount of project costs that exceeds the amount included in the application of the housing business. Tax incentive awards shall be approved by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making a tax incentive award, the authority shall notify the housing business of its tax incentive award under the program. The notification shall include the amount of tax incentives under rule </w:t>
      </w:r>
      <w:hyperlink r:id="rId76">
        <w:r>
          <w:rPr>
            <w:rStyle w:val="Hyperlink"/>
            <w:rFonts w:ascii="Times New Roman" w:hAnsi="Times New Roman"/>
            <w:b w:val="false"/>
            <w:i w:val="false"/>
            <w:color w:val="000000"/>
            <w:sz w:val="22"/>
          </w:rPr>
          <w:t>261—48.11</w:t>
        </w:r>
      </w:hyperlink>
      <w:r>
        <w:rPr>
          <w:rFonts w:ascii="Times New Roman" w:hAnsi="Times New Roman"/>
          <w:b w:val="false"/>
          <w:i w:val="false"/>
          <w:color w:val="000000"/>
          <w:sz w:val="22"/>
        </w:rPr>
        <w:t xml:space="preserve">(15) for which the housing business has received an award and a statement that a housing business has no right to receive a tax incentive certificate or claim a tax incentive until all requirements of the program, including all requirements imposed by the agreement entered into pursuant to </w:t>
      </w:r>
      <w:hyperlink r:id="rId77">
        <w:r>
          <w:rPr>
            <w:rStyle w:val="Hyperlink"/>
            <w:rFonts w:ascii="Times New Roman" w:hAnsi="Times New Roman"/>
            <w:b w:val="false"/>
            <w:i w:val="false"/>
            <w:color w:val="000000"/>
            <w:sz w:val="22"/>
          </w:rPr>
          <w:t>subrule 48.10(3)</w:t>
        </w:r>
      </w:hyperlink>
      <w:r>
        <w:rPr>
          <w:rFonts w:ascii="Times New Roman" w:hAnsi="Times New Roman"/>
          <w:b w:val="false"/>
          <w:i w:val="false"/>
          <w:color w:val="000000"/>
          <w:sz w:val="22"/>
        </w:rPr>
        <w:t xml:space="preserve">, are satisfied. The amount of tax credits included on a tax credit certificate issued pursuant to this chapter, or a claim for refund of sales and use taxes, shall be contingent upon completion of all requirements in </w:t>
      </w:r>
      <w:hyperlink r:id="rId78">
        <w:r>
          <w:rPr>
            <w:rStyle w:val="Hyperlink"/>
            <w:rFonts w:ascii="Times New Roman" w:hAnsi="Times New Roman"/>
            <w:b w:val="false"/>
            <w:i w:val="false"/>
            <w:color w:val="000000"/>
            <w:sz w:val="22"/>
          </w:rPr>
          <w:t>subrule 48.10(3)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48.10(3)</w:t>
      </w:r>
      <w:r>
        <w:rPr>
          <w:rFonts w:ascii="Times New Roman" w:hAnsi="Times New Roman"/>
          <w:b w:val="false"/>
          <w:i w:val="false"/>
          <w:color w:val="000000"/>
          <w:sz w:val="22"/>
        </w:rPr>
        <w:t> </w:t>
      </w:r>
      <w:r>
        <w:rPr>
          <w:rFonts w:ascii="Times New Roman" w:hAnsi="Times New Roman"/>
          <w:b w:val="false"/>
          <w:i/>
          <w:color w:val="000000"/>
          <w:sz w:val="22"/>
        </w:rPr>
        <w:t xml:space="preserve">Agreement and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tax incentive award to the disaster recovery housing project, the housing business shall enter into an agreement with the authority for the successful completion of all requirements of the disaster recovery housing program. The agreement shall identify the tax incentive award amount, the tax incentive award date, the project completion deadline, and the total costs of the disaster recovery housing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compliance cost fees imposed in Iowa Code section </w:t>
      </w:r>
      <w:hyperlink r:id="rId79">
        <w:r>
          <w:rPr>
            <w:rStyle w:val="Hyperlink"/>
            <w:rFonts w:ascii="Times New Roman" w:hAnsi="Times New Roman"/>
            <w:b w:val="false"/>
            <w:i w:val="false"/>
            <w:color w:val="000000"/>
            <w:sz w:val="22"/>
          </w:rPr>
          <w:t>15.330(12)</w:t>
        </w:r>
      </w:hyperlink>
      <w:r>
        <w:rPr>
          <w:rFonts w:ascii="Times New Roman" w:hAnsi="Times New Roman"/>
          <w:b w:val="false"/>
          <w:i w:val="false"/>
          <w:color w:val="000000"/>
          <w:sz w:val="22"/>
        </w:rPr>
        <w:t xml:space="preserve"> shall apply to all agreements entered into under the program and shall be collected by the authority in the same manner and to the same extent as described in Iowa Code section </w:t>
      </w:r>
      <w:hyperlink r:id="rId80">
        <w:r>
          <w:rPr>
            <w:rStyle w:val="Hyperlink"/>
            <w:rFonts w:ascii="Times New Roman" w:hAnsi="Times New Roman"/>
            <w:b w:val="false"/>
            <w:i w:val="false"/>
            <w:color w:val="000000"/>
            <w:sz w:val="22"/>
          </w:rPr>
          <w:t>15.330(12)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housing business shall complete its disaster recovery housing project within three years from the date incentives are awarded by the authority to the disaster recovery housing project. The authority may extend a housing project’s completion deadline as described in </w:t>
      </w:r>
      <w:hyperlink r:id="rId81">
        <w:r>
          <w:rPr>
            <w:rStyle w:val="Hyperlink"/>
            <w:rFonts w:ascii="Times New Roman" w:hAnsi="Times New Roman"/>
            <w:b w:val="false"/>
            <w:i w:val="false"/>
            <w:color w:val="000000"/>
            <w:sz w:val="22"/>
          </w:rPr>
          <w:t>subparagraph 48.5(3)</w:t>
        </w:r>
      </w:hyperlink>
      <w:r>
        <w:rPr>
          <w:rFonts w:ascii="Times New Roman" w:hAnsi="Times New Roman"/>
          <w:b w:val="false"/>
          <w:i/>
          <w:color w:val="000000"/>
          <w:sz w:val="22"/>
        </w:rPr>
        <w:t>“c”</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completion of a disaster recovery housing project, a housing business shall submit all of the following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examination of the project in accordance with the American Institute of Certified Public Accountants’ statements on standards for attestation engagements, completed by a certified public accountant (CPA) authorized to practice in this state. The attestation applicable to this examination is SSAE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10 (as amended by SSAE Nos.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11, 12, 14), AT section 101 and AT section 601. The procedures used by the CPA to conduct the examination should allow the CPA to conclude that, in the CPA’s professional judgment, the expenditures claimed are eligible pursuant to the agreement; Iowa Code chapter </w:t>
      </w:r>
      <w:hyperlink r:id="rId82">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subchapter II, part 17; and all rules adopted pursuant to Iowa Code chapter </w:t>
      </w:r>
      <w:hyperlink r:id="rId83">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subchapter II, part 17, in all material respects. Within ten business days of a request by the authority, the housing business shall make available to the authority the documents reviewed by the CPA unless good cause is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of the final amount of qualifying new investment for the housing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information the authority deems necessary to ensure compliance with the agreement signed by the housing business pursuant to paragraph </w:t>
      </w:r>
      <w:hyperlink r:id="rId84">
        <w:r>
          <w:rPr>
            <w:rStyle w:val="Hyperlink"/>
            <w:rFonts w:ascii="Times New Roman" w:hAnsi="Times New Roman"/>
            <w:b w:val="false"/>
            <w:i w:val="false"/>
            <w:color w:val="000000"/>
            <w:sz w:val="22"/>
          </w:rPr>
          <w:t>48.10(3)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requirements of Iowa Code chapter </w:t>
      </w:r>
      <w:hyperlink r:id="rId85">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subchapter II, part 17; and these rules and rules adopted by the department of revenue pursuant to Iowa Code section </w:t>
      </w:r>
      <w:hyperlink r:id="rId86">
        <w:r>
          <w:rPr>
            <w:rStyle w:val="Hyperlink"/>
            <w:rFonts w:ascii="Times New Roman" w:hAnsi="Times New Roman"/>
            <w:b w:val="false"/>
            <w:i w:val="false"/>
            <w:color w:val="000000"/>
            <w:sz w:val="22"/>
          </w:rPr>
          <w:t>15.356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review of the examination as described in </w:t>
      </w:r>
      <w:hyperlink r:id="rId87">
        <w:r>
          <w:rPr>
            <w:rStyle w:val="Hyperlink"/>
            <w:rFonts w:ascii="Times New Roman" w:hAnsi="Times New Roman"/>
            <w:b w:val="false"/>
            <w:i w:val="false"/>
            <w:color w:val="000000"/>
            <w:sz w:val="22"/>
          </w:rPr>
          <w:t>paragraph 48.10(3)</w:t>
        </w:r>
      </w:hyperlink>
      <w:r>
        <w:rPr>
          <w:rFonts w:ascii="Times New Roman" w:hAnsi="Times New Roman"/>
          <w:b w:val="false"/>
          <w:i/>
          <w:color w:val="000000"/>
          <w:sz w:val="22"/>
        </w:rPr>
        <w:t>“d,”</w:t>
      </w:r>
      <w:r>
        <w:rPr>
          <w:rFonts w:ascii="Times New Roman" w:hAnsi="Times New Roman"/>
          <w:b w:val="false"/>
          <w:i w:val="false"/>
          <w:color w:val="000000"/>
          <w:sz w:val="22"/>
        </w:rPr>
        <w:t xml:space="preserve">  verification of the amount of the qualifying new investment, and review of any other information submitted pursuant to subparagraph </w:t>
      </w:r>
      <w:hyperlink r:id="rId88">
        <w:r>
          <w:rPr>
            <w:rStyle w:val="Hyperlink"/>
            <w:rFonts w:ascii="Times New Roman" w:hAnsi="Times New Roman"/>
            <w:b w:val="false"/>
            <w:i w:val="false"/>
            <w:color w:val="000000"/>
            <w:sz w:val="22"/>
          </w:rPr>
          <w:t>48.10(3)</w:t>
        </w:r>
      </w:hyperlink>
      <w:r>
        <w:rPr>
          <w:rFonts w:ascii="Times New Roman" w:hAnsi="Times New Roman"/>
          <w:b w:val="false"/>
          <w:i/>
          <w:color w:val="000000"/>
          <w:sz w:val="22"/>
        </w:rPr>
        <w:t>“d”</w:t>
      </w:r>
      <w:r>
        <w:rPr>
          <w:rFonts w:ascii="Times New Roman" w:hAnsi="Times New Roman"/>
          <w:b w:val="false"/>
          <w:i w:val="false"/>
          <w:color w:val="000000"/>
          <w:sz w:val="22"/>
        </w:rPr>
        <w:t xml:space="preserve">(3), the authority may notify the housing business of the amount that the housing business may claim as a refund of the sales and use tax under Iowa Code section </w:t>
      </w:r>
      <w:hyperlink r:id="rId89">
        <w:r>
          <w:rPr>
            <w:rStyle w:val="Hyperlink"/>
            <w:rFonts w:ascii="Times New Roman" w:hAnsi="Times New Roman"/>
            <w:b w:val="false"/>
            <w:i w:val="false"/>
            <w:color w:val="000000"/>
            <w:sz w:val="22"/>
          </w:rPr>
          <w:t>15.355(2)</w:t>
        </w:r>
      </w:hyperlink>
      <w:r>
        <w:rPr>
          <w:rFonts w:ascii="Times New Roman" w:hAnsi="Times New Roman"/>
          <w:b w:val="false"/>
          <w:i w:val="false"/>
          <w:color w:val="000000"/>
          <w:sz w:val="22"/>
        </w:rPr>
        <w:t xml:space="preserve">, and may issue a tax credit certificate to the housing business stating the amount of disaster recovery housing investment tax credits under rule </w:t>
      </w:r>
      <w:hyperlink r:id="rId90">
        <w:r>
          <w:rPr>
            <w:rStyle w:val="Hyperlink"/>
            <w:rFonts w:ascii="Times New Roman" w:hAnsi="Times New Roman"/>
            <w:b w:val="false"/>
            <w:i w:val="false"/>
            <w:color w:val="000000"/>
            <w:sz w:val="22"/>
          </w:rPr>
          <w:t>261—48.11</w:t>
        </w:r>
      </w:hyperlink>
      <w:r>
        <w:rPr>
          <w:rFonts w:ascii="Times New Roman" w:hAnsi="Times New Roman"/>
          <w:b w:val="false"/>
          <w:i w:val="false"/>
          <w:color w:val="000000"/>
          <w:sz w:val="22"/>
        </w:rPr>
        <w:t>(15) that the eligible housing business may claim. The sum of the amount that the housing business may claim as a refund of the sales and use tax and the amount of the tax credit certificate shall not exceed the amount of the tax incentive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review of the examination in </w:t>
      </w:r>
      <w:hyperlink r:id="rId91">
        <w:r>
          <w:rPr>
            <w:rStyle w:val="Hyperlink"/>
            <w:rFonts w:ascii="Times New Roman" w:hAnsi="Times New Roman"/>
            <w:b w:val="false"/>
            <w:i w:val="false"/>
            <w:color w:val="000000"/>
            <w:sz w:val="22"/>
          </w:rPr>
          <w:t>paragraph 48.10(3)</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authority determines that a housing project has incurred project costs in excess of the amount submitted in the application and identified in the agreement, the authority shall proceed as described in </w:t>
      </w:r>
      <w:hyperlink r:id="rId92">
        <w:r>
          <w:rPr>
            <w:rStyle w:val="Hyperlink"/>
            <w:rFonts w:ascii="Times New Roman" w:hAnsi="Times New Roman"/>
            <w:b w:val="false"/>
            <w:i w:val="false"/>
            <w:color w:val="000000"/>
            <w:sz w:val="22"/>
          </w:rPr>
          <w:t>paragraph 48.5(4)</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48.10(4)</w:t>
      </w:r>
      <w:r>
        <w:rPr>
          <w:rFonts w:ascii="Times New Roman" w:hAnsi="Times New Roman"/>
          <w:b w:val="false"/>
          <w:i w:val="false"/>
          <w:color w:val="000000"/>
          <w:sz w:val="22"/>
        </w:rPr>
        <w:t> </w:t>
      </w:r>
      <w:r>
        <w:rPr>
          <w:rFonts w:ascii="Times New Roman" w:hAnsi="Times New Roman"/>
          <w:b w:val="false"/>
          <w:i/>
          <w:color w:val="000000"/>
          <w:sz w:val="22"/>
        </w:rPr>
        <w:t xml:space="preserve">Maximum tax incentives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amount of tax incentives that may be awarded under rule </w:t>
      </w:r>
      <w:hyperlink r:id="rId93">
        <w:r>
          <w:rPr>
            <w:rStyle w:val="Hyperlink"/>
            <w:rFonts w:ascii="Times New Roman" w:hAnsi="Times New Roman"/>
            <w:b w:val="false"/>
            <w:i w:val="false"/>
            <w:color w:val="000000"/>
            <w:sz w:val="22"/>
          </w:rPr>
          <w:t>261—48.11</w:t>
        </w:r>
      </w:hyperlink>
      <w:r>
        <w:rPr>
          <w:rFonts w:ascii="Times New Roman" w:hAnsi="Times New Roman"/>
          <w:b w:val="false"/>
          <w:i w:val="false"/>
          <w:color w:val="000000"/>
          <w:sz w:val="22"/>
        </w:rPr>
        <w:t>(15) to a housing business for a disaster recovery housing project shall not exceed $1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housing business qualifies for a higher amount of tax incentives under rule </w:t>
      </w:r>
      <w:hyperlink r:id="rId94">
        <w:r>
          <w:rPr>
            <w:rStyle w:val="Hyperlink"/>
            <w:rFonts w:ascii="Times New Roman" w:hAnsi="Times New Roman"/>
            <w:b w:val="false"/>
            <w:i w:val="false"/>
            <w:color w:val="000000"/>
            <w:sz w:val="22"/>
          </w:rPr>
          <w:t>261—48.11</w:t>
        </w:r>
      </w:hyperlink>
      <w:r>
        <w:rPr>
          <w:rFonts w:ascii="Times New Roman" w:hAnsi="Times New Roman"/>
          <w:b w:val="false"/>
          <w:i w:val="false"/>
          <w:color w:val="000000"/>
          <w:sz w:val="22"/>
        </w:rPr>
        <w:t xml:space="preserve">(15) than is allowed by the limitation imposed in </w:t>
      </w:r>
      <w:hyperlink r:id="rId95">
        <w:r>
          <w:rPr>
            <w:rStyle w:val="Hyperlink"/>
            <w:rFonts w:ascii="Times New Roman" w:hAnsi="Times New Roman"/>
            <w:b w:val="false"/>
            <w:i w:val="false"/>
            <w:color w:val="000000"/>
            <w:sz w:val="22"/>
          </w:rPr>
          <w:t>paragraph 48.10(4)</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authority and the housing business may negotiate an apportionment of the reduction in tax incentives between the sales and use tax refund provided in </w:t>
      </w:r>
      <w:hyperlink r:id="rId96">
        <w:r>
          <w:rPr>
            <w:rStyle w:val="Hyperlink"/>
            <w:rFonts w:ascii="Times New Roman" w:hAnsi="Times New Roman"/>
            <w:b w:val="false"/>
            <w:i w:val="false"/>
            <w:color w:val="000000"/>
            <w:sz w:val="22"/>
          </w:rPr>
          <w:t>subrule 48.11(2)</w:t>
        </w:r>
      </w:hyperlink>
      <w:r>
        <w:rPr>
          <w:rFonts w:ascii="Times New Roman" w:hAnsi="Times New Roman"/>
          <w:b w:val="false"/>
          <w:i w:val="false"/>
          <w:color w:val="000000"/>
          <w:sz w:val="22"/>
        </w:rPr>
        <w:t xml:space="preserve"> and the disaster recovery housing investment income tax credits provided in </w:t>
      </w:r>
      <w:hyperlink r:id="rId97">
        <w:r>
          <w:rPr>
            <w:rStyle w:val="Hyperlink"/>
            <w:rFonts w:ascii="Times New Roman" w:hAnsi="Times New Roman"/>
            <w:b w:val="false"/>
            <w:i w:val="false"/>
            <w:color w:val="000000"/>
            <w:sz w:val="22"/>
          </w:rPr>
          <w:t>subrule 48.11(3)</w:t>
        </w:r>
      </w:hyperlink>
      <w:r>
        <w:rPr>
          <w:rFonts w:ascii="Times New Roman" w:hAnsi="Times New Roman"/>
          <w:b w:val="false"/>
          <w:i w:val="false"/>
          <w:color w:val="000000"/>
          <w:sz w:val="22"/>
        </w:rPr>
        <w:t xml:space="preserve"> provided the total aggregate amount of tax incentives after the apportioned reduction does not exceed the amount in </w:t>
      </w:r>
      <w:hyperlink r:id="rId98">
        <w:r>
          <w:rPr>
            <w:rStyle w:val="Hyperlink"/>
            <w:rFonts w:ascii="Times New Roman" w:hAnsi="Times New Roman"/>
            <w:b w:val="false"/>
            <w:i w:val="false"/>
            <w:color w:val="000000"/>
            <w:sz w:val="22"/>
          </w:rPr>
          <w:t>paragraph 48.10(4)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48.10(5)</w:t>
      </w:r>
      <w:r>
        <w:rPr>
          <w:rFonts w:ascii="Times New Roman" w:hAnsi="Times New Roman"/>
          <w:b w:val="false"/>
          <w:i w:val="false"/>
          <w:color w:val="000000"/>
          <w:sz w:val="22"/>
        </w:rPr>
        <w:t> </w:t>
      </w:r>
      <w:r>
        <w:rPr>
          <w:rFonts w:ascii="Times New Roman" w:hAnsi="Times New Roman"/>
          <w:b w:val="false"/>
          <w:i/>
          <w:color w:val="000000"/>
          <w:sz w:val="22"/>
        </w:rPr>
        <w:t xml:space="preserve">Termination and repayment. </w:t>
      </w:r>
      <w:r>
        <w:rPr>
          <w:rFonts w:ascii="Times New Roman" w:hAnsi="Times New Roman"/>
          <w:b w:val="false"/>
          <w:i w:val="false"/>
          <w:color w:val="000000"/>
          <w:sz w:val="22"/>
        </w:rPr>
        <w:t xml:space="preserve">The failure by a housing business in completing a disaster recovery housing project to comply with any requirement of the disaster recovery housing program or any of the terms and obligations of an agreement entered into pursuant to this rule may result in the revocation, reduction, termination, or rescission of the tax incentive award or the approved tax incentives and may subject the housing business to the repayment or recapture of tax incentives claimed under rule </w:t>
      </w:r>
      <w:hyperlink r:id="rId99">
        <w:r>
          <w:rPr>
            <w:rStyle w:val="Hyperlink"/>
            <w:rFonts w:ascii="Times New Roman" w:hAnsi="Times New Roman"/>
            <w:b w:val="false"/>
            <w:i w:val="false"/>
            <w:color w:val="000000"/>
            <w:sz w:val="22"/>
          </w:rPr>
          <w:t>261—48.11</w:t>
        </w:r>
      </w:hyperlink>
      <w:r>
        <w:rPr>
          <w:rFonts w:ascii="Times New Roman" w:hAnsi="Times New Roman"/>
          <w:b w:val="false"/>
          <w:i w:val="false"/>
          <w:color w:val="000000"/>
          <w:sz w:val="22"/>
        </w:rPr>
        <w:t xml:space="preserve">(15). The repayment or recapture of tax incentives pursuant to this rule shall be accomplished in the same manner as provided in Iowa Code section </w:t>
      </w:r>
      <w:hyperlink r:id="rId100">
        <w:r>
          <w:rPr>
            <w:rStyle w:val="Hyperlink"/>
            <w:rFonts w:ascii="Times New Roman" w:hAnsi="Times New Roman"/>
            <w:b w:val="false"/>
            <w:i w:val="false"/>
            <w:color w:val="000000"/>
            <w:sz w:val="22"/>
          </w:rPr>
          <w:t>15.330(2)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4724C</w:t>
      </w:r>
      <w:r>
        <w:rPr>
          <w:rFonts w:ascii="Times New Roman" w:hAnsi="Times New Roman"/>
          <w:b w:val="false"/>
          <w:i w:val="false"/>
          <w:color w:val="000000"/>
          <w:sz w:val="16"/>
        </w:rPr>
        <w:t>, IAB 10/23/19, effective 10/3/19</w:t>
      </w:r>
      <w:r>
        <w:rPr>
          <w:rFonts w:ascii="Times New Roman" w:hAnsi="Times New Roman"/>
          <w:b w:val="false"/>
          <w:i w:val="false"/>
          <w:color w:val="000000"/>
          <w:sz w:val="16"/>
        </w:rPr>
        <w:t xml:space="preserve">; </w:t>
      </w:r>
      <w:r>
        <w:rPr>
          <w:rFonts w:ascii="Times New Roman" w:hAnsi="Times New Roman"/>
          <w:b/>
          <w:i w:val="false"/>
          <w:color w:val="000000"/>
          <w:sz w:val="16"/>
        </w:rPr>
        <w:t>ARC 6086C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6467C</w:t>
      </w:r>
      <w:r>
        <w:rPr>
          <w:rFonts w:ascii="Times New Roman" w:hAnsi="Times New Roman"/>
          <w:b w:val="false"/>
          <w:i w:val="false"/>
          <w:color w:val="000000"/>
          <w:sz w:val="16"/>
        </w:rPr>
        <w:t>, IAB 8/24/22, effective 9/28/22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261—48.11</w:t>
      </w:r>
      <w:r>
        <w:rPr>
          <w:rFonts w:ascii="Times New Roman" w:hAnsi="Times New Roman"/>
          <w:b/>
          <w:i w:val="false"/>
          <w:color w:val="000000"/>
          <w:sz w:val="22"/>
        </w:rPr>
        <w:t xml:space="preserve">(15) </w:t>
      </w:r>
      <w:r>
        <w:rPr>
          <w:rFonts w:ascii="Times New Roman" w:hAnsi="Times New Roman"/>
          <w:b/>
          <w:i w:val="false"/>
          <w:color w:val="000000"/>
          <w:sz w:val="22"/>
        </w:rPr>
        <w:t xml:space="preserve">Disaster recovery housing tax incentives.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48.11(1)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A housing business that has entered into an agreement with the authority for the successful completion of program requirements pursuant to rule </w:t>
      </w:r>
      <w:hyperlink r:id="rId101">
        <w:r>
          <w:rPr>
            <w:rStyle w:val="Hyperlink"/>
            <w:rFonts w:ascii="Times New Roman" w:hAnsi="Times New Roman"/>
            <w:b w:val="false"/>
            <w:i w:val="false"/>
            <w:color w:val="000000"/>
            <w:sz w:val="22"/>
          </w:rPr>
          <w:t>261—48.10</w:t>
        </w:r>
      </w:hyperlink>
      <w:r>
        <w:rPr>
          <w:rFonts w:ascii="Times New Roman" w:hAnsi="Times New Roman"/>
          <w:b w:val="false"/>
          <w:i w:val="false"/>
          <w:color w:val="000000"/>
          <w:sz w:val="22"/>
        </w:rPr>
        <w:t xml:space="preserve">(15) is eligible to receive the tax incentives described in </w:t>
      </w:r>
      <w:hyperlink r:id="rId102">
        <w:r>
          <w:rPr>
            <w:rStyle w:val="Hyperlink"/>
            <w:rFonts w:ascii="Times New Roman" w:hAnsi="Times New Roman"/>
            <w:b w:val="false"/>
            <w:i w:val="false"/>
            <w:color w:val="000000"/>
            <w:sz w:val="22"/>
          </w:rPr>
          <w:t>subrules 48.11(2)</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48.11(3)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48.11(2)</w:t>
      </w:r>
      <w:r>
        <w:rPr>
          <w:rFonts w:ascii="Times New Roman" w:hAnsi="Times New Roman"/>
          <w:b w:val="false"/>
          <w:i w:val="false"/>
          <w:color w:val="000000"/>
          <w:sz w:val="22"/>
        </w:rPr>
        <w:t> </w:t>
      </w:r>
      <w:r>
        <w:rPr>
          <w:rFonts w:ascii="Times New Roman" w:hAnsi="Times New Roman"/>
          <w:b w:val="false"/>
          <w:i/>
          <w:color w:val="000000"/>
          <w:sz w:val="22"/>
        </w:rPr>
        <w:t xml:space="preserve">Sales tax refunds. </w:t>
      </w:r>
      <w:r>
        <w:rPr>
          <w:rFonts w:ascii="Times New Roman" w:hAnsi="Times New Roman"/>
          <w:b w:val="false"/>
          <w:i w:val="false"/>
          <w:color w:val="000000"/>
          <w:sz w:val="22"/>
        </w:rPr>
        <w:t xml:space="preserve">A housing business may claim a refund of the sales and use taxes paid under Iowa Code chapter </w:t>
      </w:r>
      <w:hyperlink r:id="rId104">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that are directly related to a disaster recovery housing project. The refund available pursuant to this subrule shall be as provided in Iowa Code section </w:t>
      </w:r>
      <w:hyperlink r:id="rId105">
        <w:r>
          <w:rPr>
            <w:rStyle w:val="Hyperlink"/>
            <w:rFonts w:ascii="Times New Roman" w:hAnsi="Times New Roman"/>
            <w:b w:val="false"/>
            <w:i w:val="false"/>
            <w:color w:val="000000"/>
            <w:sz w:val="22"/>
          </w:rPr>
          <w:t>15.331A</w:t>
        </w:r>
      </w:hyperlink>
      <w:r>
        <w:rPr>
          <w:rFonts w:ascii="Times New Roman" w:hAnsi="Times New Roman"/>
          <w:b w:val="false"/>
          <w:i w:val="false"/>
          <w:color w:val="000000"/>
          <w:sz w:val="22"/>
        </w:rPr>
        <w:t xml:space="preserve"> to the extent applicable for purposes of the disaster recovery housing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48.11(3)</w:t>
      </w:r>
      <w:r>
        <w:rPr>
          <w:rFonts w:ascii="Times New Roman" w:hAnsi="Times New Roman"/>
          <w:b w:val="false"/>
          <w:i w:val="false"/>
          <w:color w:val="000000"/>
          <w:sz w:val="22"/>
        </w:rPr>
        <w:t> </w:t>
      </w:r>
      <w:r>
        <w:rPr>
          <w:rFonts w:ascii="Times New Roman" w:hAnsi="Times New Roman"/>
          <w:b w:val="false"/>
          <w:i/>
          <w:color w:val="000000"/>
          <w:sz w:val="22"/>
        </w:rPr>
        <w:t xml:space="preserve">Income tax credits.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disaster recovery housing project, a housing business may claim a tax credit in an amount not to exceed 20 percent of the qualifying new investment of a disaster recovery housing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 credit shall be allowed against the taxes imposed in Iowa Code chapter </w:t>
      </w:r>
      <w:hyperlink r:id="rId106">
        <w:r>
          <w:rPr>
            <w:rStyle w:val="Hyperlink"/>
            <w:rFonts w:ascii="Times New Roman" w:hAnsi="Times New Roman"/>
            <w:b w:val="false"/>
            <w:i w:val="false"/>
            <w:color w:val="000000"/>
            <w:sz w:val="22"/>
          </w:rPr>
          <w:t>422, subchapters II, III, and V</w:t>
        </w:r>
      </w:hyperlink>
      <w:r>
        <w:rPr>
          <w:rFonts w:ascii="Times New Roman" w:hAnsi="Times New Roman"/>
          <w:b w:val="false"/>
          <w:i w:val="false"/>
          <w:color w:val="000000"/>
          <w:sz w:val="22"/>
        </w:rPr>
        <w:t xml:space="preserve">, and in Iowa Code chapter </w:t>
      </w:r>
      <w:hyperlink r:id="rId107">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and against the moneys and credits tax imposed in Iowa Code section </w:t>
      </w:r>
      <w:hyperlink r:id="rId108">
        <w:r>
          <w:rPr>
            <w:rStyle w:val="Hyperlink"/>
            <w:rFonts w:ascii="Times New Roman" w:hAnsi="Times New Roman"/>
            <w:b w:val="false"/>
            <w:i w:val="false"/>
            <w:color w:val="000000"/>
            <w:sz w:val="22"/>
          </w:rPr>
          <w:t>533.329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claim a tax credit under this subrule, a taxpayer shall file a claim with the department of revenue pursuant to the department’s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tax credit certificate issued under an agreement entered into pursuant to </w:t>
      </w:r>
      <w:hyperlink r:id="rId109">
        <w:r>
          <w:rPr>
            <w:rStyle w:val="Hyperlink"/>
            <w:rFonts w:ascii="Times New Roman" w:hAnsi="Times New Roman"/>
            <w:b w:val="false"/>
            <w:i w:val="false"/>
            <w:color w:val="000000"/>
            <w:sz w:val="22"/>
          </w:rPr>
          <w:t>subrule 48.10(3)</w:t>
        </w:r>
      </w:hyperlink>
      <w:r>
        <w:rPr>
          <w:rFonts w:ascii="Times New Roman" w:hAnsi="Times New Roman"/>
          <w:b w:val="false"/>
          <w:i w:val="false"/>
          <w:color w:val="000000"/>
          <w:sz w:val="22"/>
        </w:rPr>
        <w:t xml:space="preserve"> may be transferred to any person pursuant to the department’s applicable rules. However, tax credit certificate amounts of less than $1,000 shall not be transferable.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4724C</w:t>
      </w:r>
      <w:r>
        <w:rPr>
          <w:rFonts w:ascii="Times New Roman" w:hAnsi="Times New Roman"/>
          <w:b w:val="false"/>
          <w:i w:val="false"/>
          <w:color w:val="000000"/>
          <w:sz w:val="16"/>
        </w:rPr>
        <w:t>, IAB 10/23/19, effective 10/3/19</w:t>
      </w:r>
      <w:r>
        <w:rPr>
          <w:rFonts w:ascii="Times New Roman" w:hAnsi="Times New Roman"/>
          <w:b w:val="false"/>
          <w:i w:val="false"/>
          <w:color w:val="000000"/>
          <w:sz w:val="16"/>
        </w:rPr>
        <w:t xml:space="preserve">; </w:t>
      </w:r>
      <w:r>
        <w:rPr>
          <w:rFonts w:ascii="Times New Roman" w:hAnsi="Times New Roman"/>
          <w:b/>
          <w:i w:val="false"/>
          <w:color w:val="000000"/>
          <w:sz w:val="16"/>
        </w:rPr>
        <w:t>ARC 6086C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261—48.12</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funding allocation and management of excess demand. </w:t>
      </w:r>
      <w:r>
        <w:rPr>
          <w:rFonts w:ascii="Times New Roman" w:hAnsi="Times New Roman"/>
          <w:b w:val="false"/>
          <w:i w:val="false"/>
          <w:color w:val="000000"/>
          <w:sz w:val="22"/>
        </w:rPr>
        <w:t xml:space="preserve">The authority shall allocate $10 million to disaster recovery housing tax incentives pursuant to rules </w:t>
      </w:r>
      <w:hyperlink r:id="rId110">
        <w:r>
          <w:rPr>
            <w:rStyle w:val="Hyperlink"/>
            <w:rFonts w:ascii="Times New Roman" w:hAnsi="Times New Roman"/>
            <w:b w:val="false"/>
            <w:i w:val="false"/>
            <w:color w:val="000000"/>
            <w:sz w:val="22"/>
          </w:rPr>
          <w:t>261—48.9</w:t>
        </w:r>
      </w:hyperlink>
      <w:r>
        <w:rPr>
          <w:rFonts w:ascii="Times New Roman" w:hAnsi="Times New Roman"/>
          <w:b w:val="false"/>
          <w:i w:val="false"/>
          <w:color w:val="000000"/>
          <w:sz w:val="22"/>
        </w:rPr>
        <w:t>(15) to 261—</w:t>
      </w:r>
      <w:hyperlink r:id="rId111">
        <w:r>
          <w:rPr>
            <w:rStyle w:val="Hyperlink"/>
            <w:rFonts w:ascii="Times New Roman" w:hAnsi="Times New Roman"/>
            <w:b w:val="false"/>
            <w:i w:val="false"/>
            <w:color w:val="000000"/>
            <w:sz w:val="22"/>
          </w:rPr>
          <w:t>48.13(15)</w:t>
        </w:r>
      </w:hyperlink>
      <w:r>
        <w:rPr>
          <w:rFonts w:ascii="Times New Roman" w:hAnsi="Times New Roman"/>
          <w:b w:val="false"/>
          <w:i w:val="false"/>
          <w:color w:val="000000"/>
          <w:sz w:val="22"/>
        </w:rPr>
        <w:t xml:space="preserve">. In allocating tax credits pursuant to Iowa Code section </w:t>
      </w:r>
      <w:hyperlink r:id="rId112">
        <w:r>
          <w:rPr>
            <w:rStyle w:val="Hyperlink"/>
            <w:rFonts w:ascii="Times New Roman" w:hAnsi="Times New Roman"/>
            <w:b w:val="false"/>
            <w:i w:val="false"/>
            <w:color w:val="000000"/>
            <w:sz w:val="22"/>
          </w:rPr>
          <w:t>15.119(5)</w:t>
        </w:r>
      </w:hyperlink>
      <w:r>
        <w:rPr>
          <w:rFonts w:ascii="Times New Roman" w:hAnsi="Times New Roman"/>
          <w:b w:val="false"/>
          <w:i w:val="false"/>
          <w:color w:val="000000"/>
          <w:sz w:val="22"/>
        </w:rPr>
        <w:t xml:space="preserve"> for the period beginning July 1, 2019, and ending June 30, 2024, the authority shall not allocate more than $10 million for purposes of Iowa Code section </w:t>
      </w:r>
      <w:hyperlink r:id="rId113">
        <w:r>
          <w:rPr>
            <w:rStyle w:val="Hyperlink"/>
            <w:rFonts w:ascii="Times New Roman" w:hAnsi="Times New Roman"/>
            <w:b w:val="false"/>
            <w:i w:val="false"/>
            <w:color w:val="000000"/>
            <w:sz w:val="22"/>
          </w:rPr>
          <w:t>15.119(5)</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4724C</w:t>
      </w:r>
      <w:r>
        <w:rPr>
          <w:rFonts w:ascii="Times New Roman" w:hAnsi="Times New Roman"/>
          <w:b w:val="false"/>
          <w:i w:val="false"/>
          <w:color w:val="000000"/>
          <w:sz w:val="16"/>
        </w:rPr>
        <w:t>, IAB 10/23/19, effective 10/3/19</w:t>
      </w:r>
      <w:r>
        <w:rPr>
          <w:rFonts w:ascii="Times New Roman" w:hAnsi="Times New Roman"/>
          <w:b w:val="false"/>
          <w:i w:val="false"/>
          <w:color w:val="000000"/>
          <w:sz w:val="16"/>
        </w:rPr>
        <w:t xml:space="preserve">; </w:t>
      </w:r>
      <w:r>
        <w:rPr>
          <w:rFonts w:ascii="Times New Roman" w:hAnsi="Times New Roman"/>
          <w:b/>
          <w:i w:val="false"/>
          <w:color w:val="000000"/>
          <w:sz w:val="16"/>
        </w:rPr>
        <w:t>ARC 6086C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261—48.13</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submittal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develop a standardized application and make the application available to eligible housing businesses and to communities. To apply for assistance under the disaster recovery housing program, an interested person shall submit an application to the authority. Applications must be submitted online at </w:t>
      </w:r>
      <w:hyperlink r:id="rId114">
        <w:r>
          <w:rPr>
            <w:rStyle w:val="Hyperlink"/>
            <w:rFonts w:ascii="Times New Roman" w:hAnsi="Times New Roman"/>
            <w:b w:val="false"/>
            <w:i w:val="false"/>
            <w:color w:val="000000"/>
            <w:sz w:val="22"/>
            <w:u w:val="single"/>
          </w:rPr>
          <w:t>www.iowagrants.gov</w:t>
        </w:r>
      </w:hyperlink>
      <w:r>
        <w:rPr>
          <w:rFonts w:ascii="Times New Roman" w:hAnsi="Times New Roman"/>
          <w:b w:val="false"/>
          <w:i w:val="false"/>
          <w:color w:val="000000"/>
          <w:sz w:val="22"/>
        </w:rPr>
        <w:t xml:space="preserve">. Instructions for application submission may be obtained at </w:t>
      </w:r>
      <w:hyperlink r:id="rId115">
        <w:r>
          <w:rPr>
            <w:rStyle w:val="Hyperlink"/>
            <w:rFonts w:ascii="Times New Roman" w:hAnsi="Times New Roman"/>
            <w:b w:val="false"/>
            <w:i w:val="false"/>
            <w:color w:val="000000"/>
            <w:sz w:val="22"/>
            <w:u w:val="single"/>
          </w:rPr>
          <w:t>www.iowagrants.gov</w:t>
        </w:r>
      </w:hyperlink>
      <w:r>
        <w:rPr>
          <w:rFonts w:ascii="Times New Roman" w:hAnsi="Times New Roman"/>
          <w:b w:val="false"/>
          <w:i w:val="false"/>
          <w:color w:val="000000"/>
          <w:sz w:val="22"/>
        </w:rPr>
        <w:t xml:space="preserve"> or by contacting the Community Development Division, Economic Development Authority, 1963 Bell Avenue, Suite 200, Des Moines, Iowa 50315.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48.13(2)</w:t>
      </w:r>
      <w:r>
        <w:rPr>
          <w:rFonts w:ascii="Times New Roman" w:hAnsi="Times New Roman"/>
          <w:b w:val="false"/>
          <w:i w:val="false"/>
          <w:color w:val="000000"/>
          <w:sz w:val="22"/>
        </w:rPr>
        <w:t> </w:t>
      </w:r>
      <w:r>
        <w:rPr>
          <w:rFonts w:ascii="Times New Roman" w:hAnsi="Times New Roman"/>
          <w:b w:val="false"/>
          <w:i w:val="false"/>
          <w:color w:val="000000"/>
          <w:sz w:val="22"/>
        </w:rPr>
        <w:t>The authority has final decision-making authority on requests for financial assistance for the disaster recovery housing program. Applications will be reviewed and scored by the staff of the authority. The director or the director’s designee will make final funding decisions after considering the recommendations of staff. The director may approve, defer or deny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4724C</w:t>
      </w:r>
      <w:r>
        <w:rPr>
          <w:rFonts w:ascii="Times New Roman" w:hAnsi="Times New Roman"/>
          <w:b w:val="false"/>
          <w:i w:val="false"/>
          <w:color w:val="000000"/>
          <w:sz w:val="16"/>
        </w:rPr>
        <w:t>, IAB 10/23/19, effective 10/3/19</w:t>
      </w:r>
      <w:r>
        <w:rPr>
          <w:rFonts w:ascii="Times New Roman" w:hAnsi="Times New Roman"/>
          <w:b w:val="false"/>
          <w:i w:val="false"/>
          <w:color w:val="000000"/>
          <w:sz w:val="16"/>
        </w:rPr>
        <w:t xml:space="preserve">; </w:t>
      </w:r>
      <w:r>
        <w:rPr>
          <w:rFonts w:ascii="Times New Roman" w:hAnsi="Times New Roman"/>
          <w:b/>
          <w:i w:val="false"/>
          <w:color w:val="000000"/>
          <w:sz w:val="16"/>
        </w:rPr>
        <w:t>ARC 6086C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6">
        <w:r>
          <w:rPr>
            <w:rStyle w:val="Hyperlink"/>
            <w:rFonts w:ascii="Times New Roman" w:hAnsi="Times New Roman"/>
            <w:b w:val="false"/>
            <w:i w:val="false"/>
            <w:color w:val="000000"/>
            <w:sz w:val="22"/>
          </w:rPr>
          <w:t>15.351 through 15.356</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2022 Iowa Acts, Senate File 2325</w:t>
      </w:r>
      <w:r>
        <w:rPr>
          <w:rFonts w:ascii="Times New Roman" w:hAnsi="Times New Roman"/>
          <w:b w:val="false"/>
          <w:i w:val="false"/>
          <w:color w:val="000000"/>
          <w:sz w:val="22"/>
        </w:rPr>
        <w:t>, sections 7 through 13.</w:t>
      </w:r>
    </w:p>
    <w:p>
      <w:pPr>
        <w:spacing w:before="0" w:after="0"/>
        <w:ind w:left="120"/>
        <w:jc w:val="center"/>
      </w:pPr>
      <w:r>
        <w:rPr>
          <w:rFonts w:ascii="Times New Roman" w:hAnsi="Times New Roman"/>
          <w:b w:val="false"/>
          <w:i w:val="false"/>
          <w:color w:val="000000"/>
          <w:sz w:val="21"/>
        </w:rPr>
        <w:t>[Filed ARC 1801C</w:t>
      </w:r>
      <w:r>
        <w:rPr>
          <w:rFonts w:ascii="Times New Roman" w:hAnsi="Times New Roman"/>
          <w:b w:val="false"/>
          <w:i w:val="false"/>
          <w:color w:val="000000"/>
          <w:sz w:val="21"/>
        </w:rPr>
        <w:t xml:space="preserve"> (Notice ARC 1628C, IAB 9/17/14)</w:t>
      </w:r>
      <w:r>
        <w:rPr>
          <w:rFonts w:ascii="Times New Roman" w:hAnsi="Times New Roman"/>
          <w:b w:val="false"/>
          <w:i w:val="false"/>
          <w:color w:val="000000"/>
          <w:sz w:val="21"/>
        </w:rPr>
        <w:t>, IAB 12/24/14, effective 1/28/15]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3581C</w:t>
      </w:r>
      <w:r>
        <w:rPr>
          <w:rFonts w:ascii="Times New Roman" w:hAnsi="Times New Roman"/>
          <w:b w:val="false"/>
          <w:i w:val="false"/>
          <w:color w:val="000000"/>
          <w:sz w:val="21"/>
        </w:rPr>
        <w:t xml:space="preserve"> (Notice ARC 3377C, IAB 10/11/17)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4510C</w:t>
      </w:r>
      <w:r>
        <w:rPr>
          <w:rFonts w:ascii="Times New Roman" w:hAnsi="Times New Roman"/>
          <w:b w:val="false"/>
          <w:i w:val="false"/>
          <w:color w:val="000000"/>
          <w:sz w:val="21"/>
        </w:rPr>
        <w:t xml:space="preserve"> (Notice ARC 4353C, IAB 3/27/19)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Emergency ARC 4724C, IAB 10/23/19, effective 10/3/19]</w:t>
      </w:r>
    </w:p>
    <w:p>
      <w:pPr>
        <w:spacing w:before="0" w:after="0"/>
        <w:ind w:left="120"/>
        <w:jc w:val="center"/>
      </w:pPr>
      <w:r>
        <w:rPr>
          <w:rFonts w:ascii="Times New Roman" w:hAnsi="Times New Roman"/>
          <w:b w:val="false"/>
          <w:i w:val="false"/>
          <w:color w:val="000000"/>
          <w:sz w:val="21"/>
        </w:rPr>
        <w:t>[Filed ARC 5139C</w:t>
      </w:r>
      <w:r>
        <w:rPr>
          <w:rFonts w:ascii="Times New Roman" w:hAnsi="Times New Roman"/>
          <w:b w:val="false"/>
          <w:i w:val="false"/>
          <w:color w:val="000000"/>
          <w:sz w:val="21"/>
        </w:rPr>
        <w:t xml:space="preserve"> (Notice ARC 4967C, IAB 3/11/20)</w:t>
      </w:r>
      <w:r>
        <w:rPr>
          <w:rFonts w:ascii="Times New Roman" w:hAnsi="Times New Roman"/>
          <w:b w:val="false"/>
          <w:i w:val="false"/>
          <w:color w:val="000000"/>
          <w:sz w:val="21"/>
        </w:rPr>
        <w:t>, IAB 8/12/20, effective 9/16/20]</w:t>
      </w:r>
    </w:p>
    <w:p>
      <w:pPr>
        <w:spacing w:before="0" w:after="0"/>
        <w:ind w:left="120"/>
        <w:jc w:val="center"/>
      </w:pPr>
      <w:r>
        <w:rPr>
          <w:rFonts w:ascii="Times New Roman" w:hAnsi="Times New Roman"/>
          <w:b w:val="false"/>
          <w:i w:val="false"/>
          <w:color w:val="000000"/>
          <w:sz w:val="21"/>
        </w:rPr>
        <w:t>[Filed ARC 6086C</w:t>
      </w:r>
      <w:r>
        <w:rPr>
          <w:rFonts w:ascii="Times New Roman" w:hAnsi="Times New Roman"/>
          <w:b w:val="false"/>
          <w:i w:val="false"/>
          <w:color w:val="000000"/>
          <w:sz w:val="21"/>
        </w:rPr>
        <w:t xml:space="preserve"> (Notice ARC 5909C, IAB 9/22/21)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6467C</w:t>
      </w:r>
      <w:r>
        <w:rPr>
          <w:rFonts w:ascii="Times New Roman" w:hAnsi="Times New Roman"/>
          <w:b w:val="false"/>
          <w:i w:val="false"/>
          <w:color w:val="000000"/>
          <w:sz w:val="21"/>
        </w:rPr>
        <w:t xml:space="preserve"> (Notice ARC 6359C, IAB 6/15/22)</w:t>
      </w:r>
      <w:r>
        <w:rPr>
          <w:rFonts w:ascii="Times New Roman" w:hAnsi="Times New Roman"/>
          <w:b w:val="false"/>
          <w:i w:val="false"/>
          <w:color w:val="000000"/>
          <w:sz w:val="21"/>
        </w:rPr>
        <w:t>, IAB 8/24/22, effective 9/28/22]</w:t>
      </w:r>
    </w:p>
    <w:p>
      <w:pPr>
        <w:spacing w:before="0" w:after="0"/>
        <w:ind w:left="120"/>
        <w:jc w:val="center"/>
      </w:pPr>
      <w:r>
        <w:rPr>
          <w:rFonts w:ascii="Times New Roman" w:hAnsi="Times New Roman"/>
          <w:b w:val="false"/>
          <w:i w:val="false"/>
          <w:color w:val="000000"/>
          <w:sz w:val="21"/>
        </w:rPr>
        <w:t>[Filed ARC 7492C</w:t>
      </w:r>
      <w:r>
        <w:rPr>
          <w:rFonts w:ascii="Times New Roman" w:hAnsi="Times New Roman"/>
          <w:b w:val="false"/>
          <w:i w:val="false"/>
          <w:color w:val="000000"/>
          <w:sz w:val="21"/>
        </w:rPr>
        <w:t xml:space="preserve"> (Notice ARC 7106C, IAB 11/1/23)</w:t>
      </w:r>
      <w:r>
        <w:rPr>
          <w:rFonts w:ascii="Times New Roman" w:hAnsi="Times New Roman"/>
          <w:b w:val="false"/>
          <w:i w:val="false"/>
          <w:color w:val="000000"/>
          <w:sz w:val="21"/>
        </w:rPr>
        <w:t>, IAB 1/10/24, effective 2/14/24]</w:t>
      </w:r>
    </w:p>
    <w:p>
      <w:pPr>
        <w:pBdr>
          <w:bottom w:space="2"/>
        </w:pBdr>
        <w:spacing w:before="0" w:after="0"/>
        <w:ind w:left="120"/>
        <w:jc w:val="both"/>
      </w:pPr>
      <w:r>
        <w:rPr>
          <w:rFonts w:ascii="Times New Roman" w:hAnsi="Times New Roman"/>
          <w:b w:val="false"/>
          <w:i w:val="false"/>
          <w:color w:val="000000"/>
          <w:sz w:val="22"/>
        </w:rPr>
        <w:t>January 28, 2015, effective date of 48.7(2) [ARC 1801C] delayed until the adjournment of the 2015 General Assembly by the Administrative Rules Review Committee at its meeting held January 6, 2015.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351-356.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5.105.pdf" Type="http://schemas.openxmlformats.org/officeDocument/2006/relationships/hyperlink" Id="rId7"/>
    <Relationship TargetMode="External" Target="https://www.legis.iowa.gov/docs/ico/chapter/15.294.pdf" Type="http://schemas.openxmlformats.org/officeDocument/2006/relationships/hyperlink" Id="rId8"/>
    <Relationship TargetMode="External" Target="https://www.legis.iowa.gov/docs/ico/chapter/15.294.pdf" Type="http://schemas.openxmlformats.org/officeDocument/2006/relationships/hyperlink" Id="rId9"/>
    <Relationship TargetMode="External" Target="https://www.legis.iowa.gov/docs/iac/rule/261.48.4.pdf" Type="http://schemas.openxmlformats.org/officeDocument/2006/relationships/hyperlink" Id="rId10"/>
    <Relationship TargetMode="External" Target="https://www.legis.iowa.gov/docs/iac/chapter/261.173.pdf" Type="http://schemas.openxmlformats.org/officeDocument/2006/relationships/hyperlink" Id="rId11"/>
    <Relationship TargetMode="External" Target="https://www.legis.iowa.gov/docs/iac/chapter/261.173.pdf" Type="http://schemas.openxmlformats.org/officeDocument/2006/relationships/hyperlink" Id="rId12"/>
    <Relationship TargetMode="External" Target="https://www.legis.iowa.gov/docs/ico/chapter/15.355.pdf" Type="http://schemas.openxmlformats.org/officeDocument/2006/relationships/hyperlink" Id="rId13"/>
    <Relationship TargetMode="External" Target="https://www.legis.iowa.gov/docs/ico/chapter/15.355.pdf" Type="http://schemas.openxmlformats.org/officeDocument/2006/relationships/hyperlink" Id="rId14"/>
    <Relationship TargetMode="External" Target="https://www.legis.iowa.gov/docs/iac/rule/261.48.3.pdf" Type="http://schemas.openxmlformats.org/officeDocument/2006/relationships/hyperlink" Id="rId15"/>
    <Relationship TargetMode="External" Target="https://www.legis.iowa.gov/docs/ico/chapter/15.355.pdf" Type="http://schemas.openxmlformats.org/officeDocument/2006/relationships/hyperlink" Id="rId16"/>
    <Relationship TargetMode="External" Target="https://www.legis.iowa.gov/docs/iac/rule/261.48.3.pdf" Type="http://schemas.openxmlformats.org/officeDocument/2006/relationships/hyperlink" Id="rId17"/>
    <Relationship TargetMode="External" Target="https://www.legis.iowa.gov/docs/ico/chapter/15.353.pdf" Type="http://schemas.openxmlformats.org/officeDocument/2006/relationships/hyperlink" Id="rId18"/>
    <Relationship TargetMode="External" Target="https://www.legis.iowa.gov/docs/iac/rule/261.48.4.pdf" Type="http://schemas.openxmlformats.org/officeDocument/2006/relationships/hyperlink" Id="rId19"/>
    <Relationship TargetMode="External" Target="https://www.legis.iowa.gov/docs/iac/rule/261.48.4.pdf" Type="http://schemas.openxmlformats.org/officeDocument/2006/relationships/hyperlink" Id="rId20"/>
    <Relationship TargetMode="External" Target="https://www.legis.iowa.gov/docs/iac/rule/261.48.4.pdf" Type="http://schemas.openxmlformats.org/officeDocument/2006/relationships/hyperlink" Id="rId21"/>
    <Relationship TargetMode="External" Target="https://www.legis.iowa.gov/docs/ico/chapter/404A.1.pdf" Type="http://schemas.openxmlformats.org/officeDocument/2006/relationships/hyperlink" Id="rId22"/>
    <Relationship TargetMode="External" Target="https://www.legis.iowa.gov/docs/iac/rule/261.48.4.pdf" Type="http://schemas.openxmlformats.org/officeDocument/2006/relationships/hyperlink" Id="rId23"/>
    <Relationship TargetMode="External" Target="https://www.legis.iowa.gov/docs/ico/chapter/404A.1.pdf" Type="http://schemas.openxmlformats.org/officeDocument/2006/relationships/hyperlink" Id="rId24"/>
    <Relationship TargetMode="External" Target="https://www.legis.iowa.gov/docs/iac/rule/261.48.6.pdf" Type="http://schemas.openxmlformats.org/officeDocument/2006/relationships/hyperlink" Id="rId25"/>
    <Relationship TargetMode="External" Target="https://www.legis.iowa.gov/docs/iac/rule/261.48.5.pdf" Type="http://schemas.openxmlformats.org/officeDocument/2006/relationships/hyperlink" Id="rId26"/>
    <Relationship TargetMode="External" Target="https://www.legis.iowa.gov/docs/ico/chapter/15.330.pdf" Type="http://schemas.openxmlformats.org/officeDocument/2006/relationships/hyperlink" Id="rId27"/>
    <Relationship TargetMode="External" Target="https://www.legis.iowa.gov/docs/iac/rule/261.48.6.pdf" Type="http://schemas.openxmlformats.org/officeDocument/2006/relationships/hyperlink" Id="rId28"/>
    <Relationship TargetMode="External" Target="https://www.legis.iowa.gov/docs/iac/rule/261.48.5.pdf" Type="http://schemas.openxmlformats.org/officeDocument/2006/relationships/hyperlink" Id="rId29"/>
    <Relationship TargetMode="External" Target="https://www.legis.iowa.gov/docs/iac/rule/261.48.5.pdf" Type="http://schemas.openxmlformats.org/officeDocument/2006/relationships/hyperlink" Id="rId30"/>
    <Relationship TargetMode="External" Target="https://www.legis.iowa.gov/docs/ico/chapter/15.330.pdf" Type="http://schemas.openxmlformats.org/officeDocument/2006/relationships/hyperlink" Id="rId31"/>
    <Relationship TargetMode="External" Target="https://www.legis.iowa.gov/docs/iac/rule/261.48.5.pdf" Type="http://schemas.openxmlformats.org/officeDocument/2006/relationships/hyperlink" Id="rId32"/>
    <Relationship TargetMode="External" Target="https://www.legis.iowa.gov/docs/iac/rule/261.48.5.pdf" Type="http://schemas.openxmlformats.org/officeDocument/2006/relationships/hyperlink" Id="rId33"/>
    <Relationship TargetMode="External" Target="https://www.legis.iowa.gov/docs/ico/chapter/15.pdf" Type="http://schemas.openxmlformats.org/officeDocument/2006/relationships/hyperlink" Id="rId34"/>
    <Relationship TargetMode="External" Target="https://www.legis.iowa.gov/docs/ico/chapter/15.pdf" Type="http://schemas.openxmlformats.org/officeDocument/2006/relationships/hyperlink" Id="rId35"/>
    <Relationship TargetMode="External" Target="https://www.legis.iowa.gov/docs/iac/rule/261.48.5.pdf" Type="http://schemas.openxmlformats.org/officeDocument/2006/relationships/hyperlink" Id="rId36"/>
    <Relationship TargetMode="External" Target="https://www.legis.iowa.gov/docs/ico/chapter/15.pdf" Type="http://schemas.openxmlformats.org/officeDocument/2006/relationships/hyperlink" Id="rId37"/>
    <Relationship TargetMode="External" Target="https://www.legis.iowa.gov/docs/ico/chapter/15.356.pdf" Type="http://schemas.openxmlformats.org/officeDocument/2006/relationships/hyperlink" Id="rId38"/>
    <Relationship TargetMode="External" Target="https://www.legis.iowa.gov/docs/iac/rule/261.48.5.pdf" Type="http://schemas.openxmlformats.org/officeDocument/2006/relationships/hyperlink" Id="rId39"/>
    <Relationship TargetMode="External" Target="https://www.legis.iowa.gov/docs/iac/rule/261.48.6.pdf" Type="http://schemas.openxmlformats.org/officeDocument/2006/relationships/hyperlink" Id="rId40"/>
    <Relationship TargetMode="External" Target="https://www.legis.iowa.gov/docs/iac/rule/261.48.6.pdf" Type="http://schemas.openxmlformats.org/officeDocument/2006/relationships/hyperlink" Id="rId41"/>
    <Relationship TargetMode="External" Target="https://www.legis.iowa.gov/docs/iac/rule/261.48.5.pdf" Type="http://schemas.openxmlformats.org/officeDocument/2006/relationships/hyperlink" Id="rId42"/>
    <Relationship TargetMode="External" Target="https://www.legis.iowa.gov/docs/iac/rule/261.48.4.pdf" Type="http://schemas.openxmlformats.org/officeDocument/2006/relationships/hyperlink" Id="rId43"/>
    <Relationship TargetMode="External" Target="https://www.legis.iowa.gov/docs/iac/rule/261.48.4.pdf" Type="http://schemas.openxmlformats.org/officeDocument/2006/relationships/hyperlink" Id="rId44"/>
    <Relationship TargetMode="External" Target="https://www.legis.iowa.gov/docs/iac/rule/261.48.6.pdf" Type="http://schemas.openxmlformats.org/officeDocument/2006/relationships/hyperlink" Id="rId45"/>
    <Relationship TargetMode="External" Target="https://www.legis.iowa.gov/docs/iac/rule/261.48.4.pdf" Type="http://schemas.openxmlformats.org/officeDocument/2006/relationships/hyperlink" Id="rId46"/>
    <Relationship TargetMode="External" Target="https://www.legis.iowa.gov/docs/iac/rule/261.48.4.pdf" Type="http://schemas.openxmlformats.org/officeDocument/2006/relationships/hyperlink" Id="rId47"/>
    <Relationship TargetMode="External" Target="https://www.legis.iowa.gov/docs/iac/rule/261.48.4.pdf" Type="http://schemas.openxmlformats.org/officeDocument/2006/relationships/hyperlink" Id="rId48"/>
    <Relationship TargetMode="External" Target="https://www.legis.iowa.gov/docs/iac/rule/261.48.6.pdf" Type="http://schemas.openxmlformats.org/officeDocument/2006/relationships/hyperlink" Id="rId49"/>
    <Relationship TargetMode="External" Target="https://www.legis.iowa.gov/docs/iac/rule/261.48.6.pdf" Type="http://schemas.openxmlformats.org/officeDocument/2006/relationships/hyperlink" Id="rId50"/>
    <Relationship TargetMode="External" Target="https://www.legis.iowa.gov/docs/iac/rule/261.48.6.pdf" Type="http://schemas.openxmlformats.org/officeDocument/2006/relationships/hyperlink" Id="rId51"/>
    <Relationship TargetMode="External" Target="https://www.legis.iowa.gov/docs/iac/rule/261.48.5.pdf" Type="http://schemas.openxmlformats.org/officeDocument/2006/relationships/hyperlink" Id="rId52"/>
    <Relationship TargetMode="External" Target="https://www.legis.iowa.gov/docs/iac/rule/261.48.6.pdf" Type="http://schemas.openxmlformats.org/officeDocument/2006/relationships/hyperlink" Id="rId53"/>
    <Relationship TargetMode="External" Target="https://www.legis.iowa.gov/docs/iac/rule/261.48.6.pdf" Type="http://schemas.openxmlformats.org/officeDocument/2006/relationships/hyperlink" Id="rId54"/>
    <Relationship TargetMode="External" Target="https://www.legis.iowa.gov/docs/iac/rule/261.48.5.pdf" Type="http://schemas.openxmlformats.org/officeDocument/2006/relationships/hyperlink" Id="rId55"/>
    <Relationship TargetMode="External" Target="https://www.legis.iowa.gov/docs/ico/chapter/15.119.pdf" Type="http://schemas.openxmlformats.org/officeDocument/2006/relationships/hyperlink" Id="rId56"/>
    <Relationship TargetMode="External" Target="https://www.legis.iowa.gov/docs/iac/rule/261.48.6.pdf" Type="http://schemas.openxmlformats.org/officeDocument/2006/relationships/hyperlink" Id="rId57"/>
    <Relationship TargetMode="External" Target="https://www.legis.iowa.gov/docs/ico/chapter/15.330.pdf" Type="http://schemas.openxmlformats.org/officeDocument/2006/relationships/hyperlink" Id="rId58"/>
    <Relationship TargetMode="External" Target="https://www.legis.iowa.gov/docs/iac/rule/261.48.5.pdf" Type="http://schemas.openxmlformats.org/officeDocument/2006/relationships/hyperlink" Id="rId59"/>
    <Relationship TargetMode="External" Target="https://www.legis.iowa.gov/docs/iac/rule/261.48.6.pdf" Type="http://schemas.openxmlformats.org/officeDocument/2006/relationships/hyperlink" Id="rId60"/>
    <Relationship TargetMode="External" Target="https://www.legis.iowa.gov/docs/iac/rule/261.48.6.pdf" Type="http://schemas.openxmlformats.org/officeDocument/2006/relationships/hyperlink" Id="rId61"/>
    <Relationship TargetMode="External" Target="https://www.legis.iowa.gov/docs/ico/chapter/423.pdf" Type="http://schemas.openxmlformats.org/officeDocument/2006/relationships/hyperlink" Id="rId62"/>
    <Relationship TargetMode="External" Target="https://www.legis.iowa.gov/docs/ico/chapter/15.331A.pdf" Type="http://schemas.openxmlformats.org/officeDocument/2006/relationships/hyperlink" Id="rId63"/>
    <Relationship TargetMode="External" Target="https://www.legis.iowa.gov/docs/ico/chapter/422.pdf" Type="http://schemas.openxmlformats.org/officeDocument/2006/relationships/hyperlink" Id="rId64"/>
    <Relationship TargetMode="External" Target="https://www.legis.iowa.gov/docs/ico/chapter/432.pdf" Type="http://schemas.openxmlformats.org/officeDocument/2006/relationships/hyperlink" Id="rId65"/>
    <Relationship TargetMode="External" Target="https://www.legis.iowa.gov/docs/ico/chapter/533.329.pdf" Type="http://schemas.openxmlformats.org/officeDocument/2006/relationships/hyperlink" Id="rId66"/>
    <Relationship TargetMode="External" Target="https://www.legis.iowa.gov/docs/iac/rule/261.48.5.pdf" Type="http://schemas.openxmlformats.org/officeDocument/2006/relationships/hyperlink" Id="rId67"/>
    <Relationship TargetMode="External" Target="https://www.legis.iowa.gov/docs/ico/chapter/15.119.pdf" Type="http://schemas.openxmlformats.org/officeDocument/2006/relationships/hyperlink" Id="rId68"/>
    <Relationship TargetMode="External" Target="https://www.legis.iowa.gov/docs/ico/chapter/15.119.pdf" Type="http://schemas.openxmlformats.org/officeDocument/2006/relationships/hyperlink" Id="rId69"/>
    <Relationship TargetMode="External" Target="http://www.iowagrants.gov" Type="http://schemas.openxmlformats.org/officeDocument/2006/relationships/hyperlink" Id="rId70"/>
    <Relationship TargetMode="External" Target="http://www.iowagrants.gov" Type="http://schemas.openxmlformats.org/officeDocument/2006/relationships/hyperlink" Id="rId71"/>
    <Relationship TargetMode="External" Target="https://www.legis.iowa.gov/docs/iac/rule/261.48.4.pdf" Type="http://schemas.openxmlformats.org/officeDocument/2006/relationships/hyperlink" Id="rId72"/>
    <Relationship TargetMode="External" Target="https://www.legis.iowa.gov/docs/iac/rule/261.48.11.pdf" Type="http://schemas.openxmlformats.org/officeDocument/2006/relationships/hyperlink" Id="rId73"/>
    <Relationship TargetMode="External" Target="https://www.legis.iowa.gov/docs/iac/rule/261.48.10.pdf" Type="http://schemas.openxmlformats.org/officeDocument/2006/relationships/hyperlink" Id="rId74"/>
    <Relationship TargetMode="External" Target="https://www.legis.iowa.gov/docs/ico/chapter/15.330.pdf" Type="http://schemas.openxmlformats.org/officeDocument/2006/relationships/hyperlink" Id="rId75"/>
    <Relationship TargetMode="External" Target="https://www.legis.iowa.gov/docs/iac/rule/261.48.11.pdf" Type="http://schemas.openxmlformats.org/officeDocument/2006/relationships/hyperlink" Id="rId76"/>
    <Relationship TargetMode="External" Target="https://www.legis.iowa.gov/docs/iac/rule/261.48.10.pdf" Type="http://schemas.openxmlformats.org/officeDocument/2006/relationships/hyperlink" Id="rId77"/>
    <Relationship TargetMode="External" Target="https://www.legis.iowa.gov/docs/iac/rule/261.48.10.pdf" Type="http://schemas.openxmlformats.org/officeDocument/2006/relationships/hyperlink" Id="rId78"/>
    <Relationship TargetMode="External" Target="https://www.legis.iowa.gov/docs/ico/chapter/15.330.pdf" Type="http://schemas.openxmlformats.org/officeDocument/2006/relationships/hyperlink" Id="rId79"/>
    <Relationship TargetMode="External" Target="https://www.legis.iowa.gov/docs/ico/chapter/15.330.pdf" Type="http://schemas.openxmlformats.org/officeDocument/2006/relationships/hyperlink" Id="rId80"/>
    <Relationship TargetMode="External" Target="https://www.legis.iowa.gov/docs/iac/rule/261.48.5.pdf" Type="http://schemas.openxmlformats.org/officeDocument/2006/relationships/hyperlink" Id="rId81"/>
    <Relationship TargetMode="External" Target="https://www.legis.iowa.gov/docs/ico/chapter/15.pdf" Type="http://schemas.openxmlformats.org/officeDocument/2006/relationships/hyperlink" Id="rId82"/>
    <Relationship TargetMode="External" Target="https://www.legis.iowa.gov/docs/ico/chapter/15.pdf" Type="http://schemas.openxmlformats.org/officeDocument/2006/relationships/hyperlink" Id="rId83"/>
    <Relationship TargetMode="External" Target="https://www.legis.iowa.gov/docs/iac/rule/261.48.10.pdf" Type="http://schemas.openxmlformats.org/officeDocument/2006/relationships/hyperlink" Id="rId84"/>
    <Relationship TargetMode="External" Target="https://www.legis.iowa.gov/docs/ico/chapter/15.pdf" Type="http://schemas.openxmlformats.org/officeDocument/2006/relationships/hyperlink" Id="rId85"/>
    <Relationship TargetMode="External" Target="https://www.legis.iowa.gov/docs/ico/chapter/15.356.pdf" Type="http://schemas.openxmlformats.org/officeDocument/2006/relationships/hyperlink" Id="rId86"/>
    <Relationship TargetMode="External" Target="https://www.legis.iowa.gov/docs/iac/rule/261.48.10.pdf" Type="http://schemas.openxmlformats.org/officeDocument/2006/relationships/hyperlink" Id="rId87"/>
    <Relationship TargetMode="External" Target="https://www.legis.iowa.gov/docs/iac/rule/261.48.10.pdf" Type="http://schemas.openxmlformats.org/officeDocument/2006/relationships/hyperlink" Id="rId88"/>
    <Relationship TargetMode="External" Target="https://www.legis.iowa.gov/docs/ico/chapter/15.355.pdf" Type="http://schemas.openxmlformats.org/officeDocument/2006/relationships/hyperlink" Id="rId89"/>
    <Relationship TargetMode="External" Target="https://www.legis.iowa.gov/docs/iac/rule/261.48.11.pdf" Type="http://schemas.openxmlformats.org/officeDocument/2006/relationships/hyperlink" Id="rId90"/>
    <Relationship TargetMode="External" Target="https://www.legis.iowa.gov/docs/iac/rule/261.48.10.pdf" Type="http://schemas.openxmlformats.org/officeDocument/2006/relationships/hyperlink" Id="rId91"/>
    <Relationship TargetMode="External" Target="https://www.legis.iowa.gov/docs/iac/rule/261.48.5.pdf" Type="http://schemas.openxmlformats.org/officeDocument/2006/relationships/hyperlink" Id="rId92"/>
    <Relationship TargetMode="External" Target="https://www.legis.iowa.gov/docs/iac/rule/261.48.11.pdf" Type="http://schemas.openxmlformats.org/officeDocument/2006/relationships/hyperlink" Id="rId93"/>
    <Relationship TargetMode="External" Target="https://www.legis.iowa.gov/docs/iac/rule/261.48.11.pdf" Type="http://schemas.openxmlformats.org/officeDocument/2006/relationships/hyperlink" Id="rId94"/>
    <Relationship TargetMode="External" Target="https://www.legis.iowa.gov/docs/iac/rule/261.48.10.pdf" Type="http://schemas.openxmlformats.org/officeDocument/2006/relationships/hyperlink" Id="rId95"/>
    <Relationship TargetMode="External" Target="https://www.legis.iowa.gov/docs/iac/rule/261.48.11.pdf" Type="http://schemas.openxmlformats.org/officeDocument/2006/relationships/hyperlink" Id="rId96"/>
    <Relationship TargetMode="External" Target="https://www.legis.iowa.gov/docs/iac/rule/261.48.11.pdf" Type="http://schemas.openxmlformats.org/officeDocument/2006/relationships/hyperlink" Id="rId97"/>
    <Relationship TargetMode="External" Target="https://www.legis.iowa.gov/docs/iac/rule/261.48.10.pdf" Type="http://schemas.openxmlformats.org/officeDocument/2006/relationships/hyperlink" Id="rId98"/>
    <Relationship TargetMode="External" Target="https://www.legis.iowa.gov/docs/iac/rule/261.48.11.pdf" Type="http://schemas.openxmlformats.org/officeDocument/2006/relationships/hyperlink" Id="rId99"/>
    <Relationship TargetMode="External" Target="https://www.legis.iowa.gov/docs/ico/chapter/15.330.pdf" Type="http://schemas.openxmlformats.org/officeDocument/2006/relationships/hyperlink" Id="rId100"/>
    <Relationship TargetMode="External" Target="https://www.legis.iowa.gov/docs/iac/rule/261.48.10.pdf" Type="http://schemas.openxmlformats.org/officeDocument/2006/relationships/hyperlink" Id="rId101"/>
    <Relationship TargetMode="External" Target="https://www.legis.iowa.gov/docs/iac/rule/261.48.11.pdf" Type="http://schemas.openxmlformats.org/officeDocument/2006/relationships/hyperlink" Id="rId102"/>
    <Relationship TargetMode="External" Target="https://www.legis.iowa.gov/docs/iac/rule/261.48.11.pdf" Type="http://schemas.openxmlformats.org/officeDocument/2006/relationships/hyperlink" Id="rId103"/>
    <Relationship TargetMode="External" Target="https://www.legis.iowa.gov/docs/ico/chapter/423.pdf" Type="http://schemas.openxmlformats.org/officeDocument/2006/relationships/hyperlink" Id="rId104"/>
    <Relationship TargetMode="External" Target="https://www.legis.iowa.gov/docs/ico/chapter/15.331A.pdf" Type="http://schemas.openxmlformats.org/officeDocument/2006/relationships/hyperlink" Id="rId105"/>
    <Relationship TargetMode="External" Target="https://www.legis.iowa.gov/docs/ico/chapter/422.pdf" Type="http://schemas.openxmlformats.org/officeDocument/2006/relationships/hyperlink" Id="rId106"/>
    <Relationship TargetMode="External" Target="https://www.legis.iowa.gov/docs/ico/chapter/432.pdf" Type="http://schemas.openxmlformats.org/officeDocument/2006/relationships/hyperlink" Id="rId107"/>
    <Relationship TargetMode="External" Target="https://www.legis.iowa.gov/docs/ico/chapter/533.329.pdf" Type="http://schemas.openxmlformats.org/officeDocument/2006/relationships/hyperlink" Id="rId108"/>
    <Relationship TargetMode="External" Target="https://www.legis.iowa.gov/docs/iac/rule/261.48.10.pdf" Type="http://schemas.openxmlformats.org/officeDocument/2006/relationships/hyperlink" Id="rId109"/>
    <Relationship TargetMode="External" Target="https://www.legis.iowa.gov/docs/iac/rule/261.48.9.pdf" Type="http://schemas.openxmlformats.org/officeDocument/2006/relationships/hyperlink" Id="rId110"/>
    <Relationship TargetMode="External" Target="https://www.legis.iowa.gov/docs/iac/rule/261.48.13.pdf" Type="http://schemas.openxmlformats.org/officeDocument/2006/relationships/hyperlink" Id="rId111"/>
    <Relationship TargetMode="External" Target="https://www.legis.iowa.gov/docs/ico/chapter/15.119.pdf" Type="http://schemas.openxmlformats.org/officeDocument/2006/relationships/hyperlink" Id="rId112"/>
    <Relationship TargetMode="External" Target="https://www.legis.iowa.gov/docs/ico/chapter/15.119.pdf" Type="http://schemas.openxmlformats.org/officeDocument/2006/relationships/hyperlink" Id="rId113"/>
    <Relationship TargetMode="External" Target="http://www.iowagrants.gov" Type="http://schemas.openxmlformats.org/officeDocument/2006/relationships/hyperlink" Id="rId114"/>
    <Relationship TargetMode="External" Target="http://www.iowagrants.gov" Type="http://schemas.openxmlformats.org/officeDocument/2006/relationships/hyperlink" Id="rId115"/>
    <Relationship TargetMode="External" Target="https://www.legis.iowa.gov/docs/ico/chapter/15.351-356.pdf" Type="http://schemas.openxmlformats.org/officeDocument/2006/relationships/hyperlink" Id="rId1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