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44</w:t>
      </w:r>
    </w:p>
    <w:p>
      <w:pPr>
        <w:spacing w:before="0" w:after="0"/>
        <w:ind w:left="120"/>
        <w:jc w:val="center"/>
      </w:pPr>
      <w:r>
        <w:rPr>
          <w:rFonts w:ascii="Times New Roman" w:hAnsi="Times New Roman"/>
          <w:b w:val="false"/>
          <w:i w:val="false"/>
          <w:color w:val="000000"/>
          <w:sz w:val="21"/>
        </w:rPr>
        <w:t>COG ASSISTANCE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261—44.1</w:t>
      </w:r>
      <w:r>
        <w:rPr>
          <w:rFonts w:ascii="Times New Roman" w:hAnsi="Times New Roman"/>
          <w:b/>
          <w:i w:val="false"/>
          <w:color w:val="000000"/>
          <w:sz w:val="22"/>
        </w:rPr>
        <w:t xml:space="preserve">(28H) </w:t>
      </w:r>
      <w:r>
        <w:rPr>
          <w:rFonts w:ascii="Times New Roman" w:hAnsi="Times New Roman"/>
          <w:b/>
          <w:i w:val="false"/>
          <w:color w:val="000000"/>
          <w:sz w:val="22"/>
        </w:rPr>
        <w:t xml:space="preserve">Purpose. </w:t>
      </w:r>
      <w:r>
        <w:rPr>
          <w:rFonts w:ascii="Times New Roman" w:hAnsi="Times New Roman"/>
          <w:b w:val="false"/>
          <w:i w:val="false"/>
          <w:color w:val="000000"/>
          <w:sz w:val="22"/>
        </w:rPr>
        <w:t>The chapter provides grant funds to councils of governments for the provision of technical assistance to political subdivisions in their service delivery areas, as authorized in the Act.</w:t>
      </w:r>
    </w:p>
    <w:p>
      <w:pPr>
        <w:spacing w:before="0" w:after="0"/>
        <w:ind w:left="120"/>
        <w:jc w:val="both"/>
      </w:pPr>
      <w:r>
        <w:rPr>
          <w:rFonts w:ascii="Times New Roman" w:hAnsi="Times New Roman"/>
          <w:b/>
          <w:i w:val="false"/>
          <w:color w:val="000000"/>
          <w:sz w:val="22"/>
        </w:rPr>
        <w:t>261—44.2</w:t>
      </w:r>
      <w:r>
        <w:rPr>
          <w:rFonts w:ascii="Times New Roman" w:hAnsi="Times New Roman"/>
          <w:b/>
          <w:i w:val="false"/>
          <w:color w:val="000000"/>
          <w:sz w:val="22"/>
        </w:rPr>
        <w:t xml:space="preserve">(28H)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terms used in this chapter shall be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Iowa Code section </w:t>
      </w:r>
      <w:hyperlink r:id="rId5">
        <w:r>
          <w:rPr>
            <w:rStyle w:val="Hyperlink"/>
            <w:rFonts w:ascii="Times New Roman" w:hAnsi="Times New Roman"/>
            <w:b w:val="false"/>
            <w:i w:val="false"/>
            <w:color w:val="000000"/>
            <w:sz w:val="22"/>
          </w:rPr>
          <w:t>28H.1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2007 Iowa Acts, Senate File 444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any entity organized as a metropolitan, regional, areawide planning commission, or as a council of government and which applies for assistance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“COG” </w:t>
      </w:r>
      <w:r>
        <w:rPr>
          <w:rFonts w:ascii="Times New Roman" w:hAnsi="Times New Roman"/>
          <w:b w:val="false"/>
          <w:i w:val="false"/>
          <w:color w:val="000000"/>
          <w:sz w:val="22"/>
        </w:rPr>
        <w:t>means a council of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development” </w:t>
      </w:r>
      <w:r>
        <w:rPr>
          <w:rFonts w:ascii="Times New Roman" w:hAnsi="Times New Roman"/>
          <w:b w:val="false"/>
          <w:i w:val="false"/>
          <w:color w:val="000000"/>
          <w:sz w:val="22"/>
        </w:rPr>
        <w:t>means any activity that supports one or more of the following: housing, transportation, education, infrastructure, recreation, economic development, health care, child care, environmental concerns, communications, natural and human resources,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economic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“Grantee” </w:t>
      </w:r>
      <w:r>
        <w:rPr>
          <w:rFonts w:ascii="Times New Roman" w:hAnsi="Times New Roman"/>
          <w:b w:val="false"/>
          <w:i w:val="false"/>
          <w:color w:val="000000"/>
          <w:sz w:val="22"/>
        </w:rPr>
        <w:t>means an applicant which receives funding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government” </w:t>
      </w:r>
      <w:r>
        <w:rPr>
          <w:rFonts w:ascii="Times New Roman" w:hAnsi="Times New Roman"/>
          <w:b w:val="false"/>
          <w:i w:val="false"/>
          <w:color w:val="000000"/>
          <w:sz w:val="22"/>
        </w:rPr>
        <w:t>means a city or county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“Political subdivision” </w:t>
      </w:r>
      <w:r>
        <w:rPr>
          <w:rFonts w:ascii="Times New Roman" w:hAnsi="Times New Roman"/>
          <w:b w:val="false"/>
          <w:i w:val="false"/>
          <w:color w:val="000000"/>
          <w:sz w:val="22"/>
        </w:rPr>
        <w:t>means an Iowa city or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delivery area” </w:t>
      </w:r>
      <w:r>
        <w:rPr>
          <w:rFonts w:ascii="Times New Roman" w:hAnsi="Times New Roman"/>
          <w:b w:val="false"/>
          <w:i w:val="false"/>
          <w:color w:val="000000"/>
          <w:sz w:val="22"/>
        </w:rPr>
        <w:t>means the geographic area served by the applicant.</w:t>
      </w:r>
    </w:p>
    <w:p>
      <w:pPr>
        <w:spacing w:before="210" w:after="0"/>
        <w:ind w:left="120"/>
        <w:jc w:val="both"/>
      </w:pPr>
      <w:r>
        <w:rPr>
          <w:rFonts w:ascii="Times New Roman" w:hAnsi="Times New Roman"/>
          <w:b/>
          <w:i w:val="false"/>
          <w:color w:val="000000"/>
          <w:sz w:val="22"/>
        </w:rPr>
        <w:t>261—44.3</w:t>
      </w:r>
      <w:r>
        <w:rPr>
          <w:rFonts w:ascii="Times New Roman" w:hAnsi="Times New Roman"/>
          <w:b/>
          <w:i w:val="false"/>
          <w:color w:val="000000"/>
          <w:sz w:val="22"/>
        </w:rPr>
        <w:t xml:space="preserve">(28H) </w:t>
      </w:r>
      <w:r>
        <w:rPr>
          <w:rFonts w:ascii="Times New Roman" w:hAnsi="Times New Roman"/>
          <w:b/>
          <w:i w:val="false"/>
          <w:color w:val="000000"/>
          <w:sz w:val="22"/>
        </w:rPr>
        <w:t xml:space="preserve">Eligibility. </w:t>
      </w:r>
      <w:r>
        <w:rPr>
          <w:rFonts w:ascii="Times New Roman" w:hAnsi="Times New Roman"/>
          <w:b w:val="false"/>
          <w:i w:val="false"/>
          <w:color w:val="000000"/>
          <w:sz w:val="22"/>
        </w:rPr>
        <w:t xml:space="preserve">Iowa entities authorized as a council of government by Executive Order Number 11, 1969, by a chapter </w:t>
      </w:r>
      <w:hyperlink r:id="rId6">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agreement, or by Iowa Code section </w:t>
      </w:r>
      <w:hyperlink r:id="rId7">
        <w:r>
          <w:rPr>
            <w:rStyle w:val="Hyperlink"/>
            <w:rFonts w:ascii="Times New Roman" w:hAnsi="Times New Roman"/>
            <w:b w:val="false"/>
            <w:i w:val="false"/>
            <w:color w:val="000000"/>
            <w:sz w:val="22"/>
          </w:rPr>
          <w:t>28H.1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2007 Iowa Acts, Senate File 444</w:t>
      </w:r>
      <w:r>
        <w:rPr>
          <w:rFonts w:ascii="Times New Roman" w:hAnsi="Times New Roman"/>
          <w:b w:val="false"/>
          <w:i w:val="false"/>
          <w:color w:val="000000"/>
          <w:sz w:val="22"/>
        </w:rPr>
        <w:t>, are eligible to receive assistance through this chapter.</w:t>
      </w:r>
    </w:p>
    <w:p>
      <w:pPr>
        <w:spacing w:before="210" w:after="0"/>
        <w:ind w:left="120"/>
        <w:jc w:val="both"/>
      </w:pPr>
      <w:r>
        <w:rPr>
          <w:rFonts w:ascii="Times New Roman" w:hAnsi="Times New Roman"/>
          <w:b/>
          <w:i w:val="false"/>
          <w:color w:val="000000"/>
          <w:sz w:val="22"/>
        </w:rPr>
        <w:t>261—44.4</w:t>
      </w:r>
      <w:r>
        <w:rPr>
          <w:rFonts w:ascii="Times New Roman" w:hAnsi="Times New Roman"/>
          <w:b/>
          <w:i w:val="false"/>
          <w:color w:val="000000"/>
          <w:sz w:val="22"/>
        </w:rPr>
        <w:t xml:space="preserve">(28H) </w:t>
      </w:r>
      <w:r>
        <w:rPr>
          <w:rFonts w:ascii="Times New Roman" w:hAnsi="Times New Roman"/>
          <w:b/>
          <w:i w:val="false"/>
          <w:color w:val="000000"/>
          <w:sz w:val="22"/>
        </w:rPr>
        <w:t xml:space="preserve">Eligible activities. </w:t>
      </w:r>
      <w:r>
        <w:rPr>
          <w:rFonts w:ascii="Times New Roman" w:hAnsi="Times New Roman"/>
          <w:b w:val="false"/>
          <w:i w:val="false"/>
          <w:color w:val="000000"/>
          <w:sz w:val="22"/>
        </w:rPr>
        <w:t>Applicants may apply for grant funds to fund any one or more of the following community development activities: community planning, grant writing, coordination, shared staffing and materials, consultation services, staffing, capacity building, training, and provision of technical assistance.</w:t>
      </w:r>
    </w:p>
    <w:p>
      <w:pPr>
        <w:spacing w:before="0" w:after="0"/>
        <w:ind w:left="120"/>
        <w:jc w:val="both"/>
      </w:pPr>
      <w:r>
        <w:rPr>
          <w:rFonts w:ascii="Times New Roman" w:hAnsi="Times New Roman"/>
          <w:b/>
          <w:i w:val="false"/>
          <w:color w:val="000000"/>
          <w:sz w:val="22"/>
        </w:rPr>
        <w:t>261—44.5</w:t>
      </w:r>
      <w:r>
        <w:rPr>
          <w:rFonts w:ascii="Times New Roman" w:hAnsi="Times New Roman"/>
          <w:b/>
          <w:i w:val="false"/>
          <w:color w:val="000000"/>
          <w:sz w:val="22"/>
        </w:rPr>
        <w:t xml:space="preserve">(28H) </w:t>
      </w:r>
      <w:r>
        <w:rPr>
          <w:rFonts w:ascii="Times New Roman" w:hAnsi="Times New Roman"/>
          <w:b/>
          <w:i w:val="false"/>
          <w:color w:val="000000"/>
          <w:sz w:val="22"/>
        </w:rPr>
        <w:t xml:space="preserve">Application procedure. </w:t>
      </w:r>
      <w:r>
        <w:rPr>
          <w:rFonts w:ascii="Times New Roman" w:hAnsi="Times New Roman"/>
          <w:b w:val="false"/>
          <w:i w:val="false"/>
          <w:color w:val="000000"/>
          <w:sz w:val="22"/>
        </w:rPr>
        <w:t>All eligible applicants will be provided with written notification when funds become available. In order to receive a grant the applicant must submit the following information to the Department of Economic Development, Division for Community Progress, 200 East Grand Avenue, Des Moines, Iowa 50309: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44.5(1)</w:t>
      </w:r>
      <w:r>
        <w:rPr>
          <w:rFonts w:ascii="Times New Roman" w:hAnsi="Times New Roman"/>
          <w:b w:val="false"/>
          <w:i w:val="false"/>
          <w:color w:val="000000"/>
          <w:sz w:val="22"/>
        </w:rPr>
        <w:t> </w:t>
      </w:r>
      <w:r>
        <w:rPr>
          <w:rFonts w:ascii="Times New Roman" w:hAnsi="Times New Roman"/>
          <w:b w:val="false"/>
          <w:i w:val="false"/>
          <w:color w:val="000000"/>
          <w:sz w:val="22"/>
        </w:rPr>
        <w:t>A description of the service delivery area that will be served with the grant funds. In no case shall the funds be utilized to provide assistance outside the borders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44.5(2)</w:t>
      </w:r>
      <w:r>
        <w:rPr>
          <w:rFonts w:ascii="Times New Roman" w:hAnsi="Times New Roman"/>
          <w:b w:val="false"/>
          <w:i w:val="false"/>
          <w:color w:val="000000"/>
          <w:sz w:val="22"/>
        </w:rPr>
        <w:t> </w:t>
      </w:r>
      <w:r>
        <w:rPr>
          <w:rFonts w:ascii="Times New Roman" w:hAnsi="Times New Roman"/>
          <w:b w:val="false"/>
          <w:i w:val="false"/>
          <w:color w:val="000000"/>
          <w:sz w:val="22"/>
        </w:rPr>
        <w:t>A work plan outlining the specific community development technical assistance activities to be undertaken with the COG assistance funding provided under this chapter and the time frame for this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44.5(3)</w:t>
      </w:r>
      <w:r>
        <w:rPr>
          <w:rFonts w:ascii="Times New Roman" w:hAnsi="Times New Roman"/>
          <w:b w:val="false"/>
          <w:i w:val="false"/>
          <w:color w:val="000000"/>
          <w:sz w:val="22"/>
        </w:rPr>
        <w:t> </w:t>
      </w:r>
      <w:r>
        <w:rPr>
          <w:rFonts w:ascii="Times New Roman" w:hAnsi="Times New Roman"/>
          <w:b w:val="false"/>
          <w:i w:val="false"/>
          <w:color w:val="000000"/>
          <w:sz w:val="22"/>
        </w:rPr>
        <w:t xml:space="preserve">A budget which details how the grant funds will be expended to accomplish the work plan outlined in </w:t>
      </w:r>
      <w:hyperlink r:id="rId8">
        <w:r>
          <w:rPr>
            <w:rStyle w:val="Hyperlink"/>
            <w:rFonts w:ascii="Times New Roman" w:hAnsi="Times New Roman"/>
            <w:b w:val="false"/>
            <w:i w:val="false"/>
            <w:color w:val="000000"/>
            <w:sz w:val="22"/>
          </w:rPr>
          <w:t>44.5(2)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44.5(4)</w:t>
      </w:r>
      <w:r>
        <w:rPr>
          <w:rFonts w:ascii="Times New Roman" w:hAnsi="Times New Roman"/>
          <w:b w:val="false"/>
          <w:i w:val="false"/>
          <w:color w:val="000000"/>
          <w:sz w:val="22"/>
        </w:rPr>
        <w:t> </w:t>
      </w:r>
      <w:r>
        <w:rPr>
          <w:rFonts w:ascii="Times New Roman" w:hAnsi="Times New Roman"/>
          <w:b w:val="false"/>
          <w:i w:val="false"/>
          <w:color w:val="000000"/>
          <w:sz w:val="22"/>
        </w:rPr>
        <w:t>A narrative describing how the applicant may assist its service delivery area’s regional coordinating council(s) in the implementation of its regional economic development coordination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44.5(5)</w:t>
      </w:r>
      <w:r>
        <w:rPr>
          <w:rFonts w:ascii="Times New Roman" w:hAnsi="Times New Roman"/>
          <w:b w:val="false"/>
          <w:i w:val="false"/>
          <w:color w:val="000000"/>
          <w:sz w:val="22"/>
        </w:rPr>
        <w:t> </w:t>
      </w:r>
      <w:r>
        <w:rPr>
          <w:rFonts w:ascii="Times New Roman" w:hAnsi="Times New Roman"/>
          <w:b w:val="false"/>
          <w:i w:val="false"/>
          <w:color w:val="000000"/>
          <w:sz w:val="22"/>
        </w:rPr>
        <w:t xml:space="preserve">A narrative which specifies how the activities outlined by the work plan required in </w:t>
      </w:r>
      <w:hyperlink r:id="rId9">
        <w:r>
          <w:rPr>
            <w:rStyle w:val="Hyperlink"/>
            <w:rFonts w:ascii="Times New Roman" w:hAnsi="Times New Roman"/>
            <w:b w:val="false"/>
            <w:i w:val="false"/>
            <w:color w:val="000000"/>
            <w:sz w:val="22"/>
          </w:rPr>
          <w:t>44.5(2)</w:t>
        </w:r>
      </w:hyperlink>
      <w:r>
        <w:rPr>
          <w:rFonts w:ascii="Times New Roman" w:hAnsi="Times New Roman"/>
          <w:b w:val="false"/>
          <w:i w:val="false"/>
          <w:color w:val="000000"/>
          <w:sz w:val="22"/>
        </w:rPr>
        <w:t xml:space="preserve"> complement the regional economic development coordination plan(s) of the regional coordinating council(s) in its service delivery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44.5(6)</w:t>
      </w:r>
      <w:r>
        <w:rPr>
          <w:rFonts w:ascii="Times New Roman" w:hAnsi="Times New Roman"/>
          <w:b w:val="false"/>
          <w:i w:val="false"/>
          <w:color w:val="000000"/>
          <w:sz w:val="22"/>
        </w:rPr>
        <w:t> </w:t>
      </w:r>
      <w:r>
        <w:rPr>
          <w:rFonts w:ascii="Times New Roman" w:hAnsi="Times New Roman"/>
          <w:b w:val="false"/>
          <w:i w:val="false"/>
          <w:color w:val="000000"/>
          <w:sz w:val="22"/>
        </w:rPr>
        <w:t xml:space="preserve">An explanation of how the work plan submitted under </w:t>
      </w:r>
      <w:hyperlink r:id="rId10">
        <w:r>
          <w:rPr>
            <w:rStyle w:val="Hyperlink"/>
            <w:rFonts w:ascii="Times New Roman" w:hAnsi="Times New Roman"/>
            <w:b w:val="false"/>
            <w:i w:val="false"/>
            <w:color w:val="000000"/>
            <w:sz w:val="22"/>
          </w:rPr>
          <w:t>44.5(2)</w:t>
        </w:r>
      </w:hyperlink>
      <w:r>
        <w:rPr>
          <w:rFonts w:ascii="Times New Roman" w:hAnsi="Times New Roman"/>
          <w:b w:val="false"/>
          <w:i w:val="false"/>
          <w:color w:val="000000"/>
          <w:sz w:val="22"/>
        </w:rPr>
        <w:t xml:space="preserve"> supports the overall annual work plan developed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44.5(7)</w:t>
      </w:r>
      <w:r>
        <w:rPr>
          <w:rFonts w:ascii="Times New Roman" w:hAnsi="Times New Roman"/>
          <w:b w:val="false"/>
          <w:i w:val="false"/>
          <w:color w:val="000000"/>
          <w:sz w:val="22"/>
        </w:rPr>
        <w:t> </w:t>
      </w:r>
      <w:r>
        <w:rPr>
          <w:rFonts w:ascii="Times New Roman" w:hAnsi="Times New Roman"/>
          <w:b w:val="false"/>
          <w:i w:val="false"/>
          <w:color w:val="000000"/>
          <w:sz w:val="22"/>
        </w:rPr>
        <w:t>A narrative which describes how the applicant may work with its service delivery area’s regional coordinating council(s) to coordinate delivery of services and to further delineate the roles of each entity.</w:t>
      </w:r>
    </w:p>
    <w:p>
      <w:pPr>
        <w:spacing w:before="210" w:after="0"/>
        <w:ind w:left="120"/>
        <w:jc w:val="both"/>
      </w:pPr>
      <w:r>
        <w:rPr>
          <w:rFonts w:ascii="Times New Roman" w:hAnsi="Times New Roman"/>
          <w:b/>
          <w:i w:val="false"/>
          <w:color w:val="000000"/>
          <w:sz w:val="22"/>
        </w:rPr>
        <w:t>261—44.6</w:t>
      </w:r>
      <w:r>
        <w:rPr>
          <w:rFonts w:ascii="Times New Roman" w:hAnsi="Times New Roman"/>
          <w:b/>
          <w:i w:val="false"/>
          <w:color w:val="000000"/>
          <w:sz w:val="22"/>
        </w:rPr>
        <w:t xml:space="preserve">(28H) </w:t>
      </w:r>
      <w:r>
        <w:rPr>
          <w:rFonts w:ascii="Times New Roman" w:hAnsi="Times New Roman"/>
          <w:b/>
          <w:i w:val="false"/>
          <w:color w:val="000000"/>
          <w:sz w:val="22"/>
        </w:rPr>
        <w:t xml:space="preserve">Grant awards. </w:t>
      </w:r>
      <w:r>
        <w:rPr>
          <w:rFonts w:ascii="Times New Roman" w:hAnsi="Times New Roman"/>
          <w:b w:val="false"/>
          <w:i w:val="false"/>
          <w:color w:val="000000"/>
          <w:sz w:val="22"/>
        </w:rPr>
        <w:t>Grant awards will be made on a noncompetitive basis with each eligible applicant receiving an equal share of the funds available for the purpose of this chapter. One-seventeenth of the total funds allocated by the legislature for COG assistance shall be awarded to each COG.</w:t>
      </w:r>
    </w:p>
    <w:p>
      <w:pPr>
        <w:spacing w:before="0" w:after="0"/>
        <w:ind w:left="120"/>
        <w:jc w:val="both"/>
      </w:pPr>
      <w:r>
        <w:rPr>
          <w:rFonts w:ascii="Times New Roman" w:hAnsi="Times New Roman"/>
          <w:b/>
          <w:i w:val="false"/>
          <w:color w:val="000000"/>
          <w:sz w:val="22"/>
        </w:rPr>
        <w:t>261—44.7</w:t>
      </w:r>
      <w:r>
        <w:rPr>
          <w:rFonts w:ascii="Times New Roman" w:hAnsi="Times New Roman"/>
          <w:b/>
          <w:i w:val="false"/>
          <w:color w:val="000000"/>
          <w:sz w:val="22"/>
        </w:rPr>
        <w:t xml:space="preserve">(28H) </w:t>
      </w:r>
      <w:r>
        <w:rPr>
          <w:rFonts w:ascii="Times New Roman" w:hAnsi="Times New Roman"/>
          <w:b/>
          <w:i w:val="false"/>
          <w:color w:val="000000"/>
          <w:sz w:val="22"/>
        </w:rPr>
        <w:t xml:space="preserve">Funding. </w:t>
      </w:r>
      <w:r>
        <w:rPr>
          <w:rFonts w:ascii="Times New Roman" w:hAnsi="Times New Roman"/>
          <w:b w:val="false"/>
          <w:i w:val="false"/>
          <w:color w:val="000000"/>
          <w:sz w:val="22"/>
        </w:rPr>
        <w:t xml:space="preserve">The department will execute a contract with the grantee for the provision of grant funds to undertake the work plan and budget submitted in accordance with </w:t>
      </w:r>
      <w:hyperlink r:id="rId11">
        <w:r>
          <w:rPr>
            <w:rStyle w:val="Hyperlink"/>
            <w:rFonts w:ascii="Times New Roman" w:hAnsi="Times New Roman"/>
            <w:b w:val="false"/>
            <w:i w:val="false"/>
            <w:color w:val="000000"/>
            <w:sz w:val="22"/>
          </w:rPr>
          <w:t>44.5</w:t>
        </w:r>
      </w:hyperlink>
      <w:r>
        <w:rPr>
          <w:rFonts w:ascii="Times New Roman" w:hAnsi="Times New Roman"/>
          <w:b w:val="false"/>
          <w:i w:val="false"/>
          <w:color w:val="000000"/>
          <w:sz w:val="22"/>
        </w:rPr>
        <w:t>(28H). The funding of an application under these rules is contingent upon the availability of funds appropriated for this purpose.</w:t>
      </w:r>
    </w:p>
    <w:p>
      <w:pPr>
        <w:spacing w:before="0" w:after="0"/>
        <w:ind w:left="120"/>
        <w:jc w:val="both"/>
      </w:pPr>
      <w:r>
        <w:rPr>
          <w:rFonts w:ascii="Times New Roman" w:hAnsi="Times New Roman"/>
          <w:b w:val="false"/>
          <w:i w:val="false"/>
          <w:color w:val="000000"/>
          <w:sz w:val="22"/>
        </w:rPr>
        <w:t xml:space="preserve">The department will allocate grant funds on a quarterly basis subject to the receipt of a quarterly requisition for payment from each grantee. The amount to be allocated each quarter is dependent upon the budget and work plan as outlined in </w:t>
      </w:r>
      <w:hyperlink r:id="rId12">
        <w:r>
          <w:rPr>
            <w:rStyle w:val="Hyperlink"/>
            <w:rFonts w:ascii="Times New Roman" w:hAnsi="Times New Roman"/>
            <w:b w:val="false"/>
            <w:i w:val="false"/>
            <w:color w:val="000000"/>
            <w:sz w:val="22"/>
          </w:rPr>
          <w:t>44.5</w:t>
        </w:r>
      </w:hyperlink>
      <w:r>
        <w:rPr>
          <w:rFonts w:ascii="Times New Roman" w:hAnsi="Times New Roman"/>
          <w:b w:val="false"/>
          <w:i w:val="false"/>
          <w:color w:val="000000"/>
          <w:sz w:val="22"/>
        </w:rPr>
        <w:t>(28H).</w:t>
      </w:r>
    </w:p>
    <w:p>
      <w:pPr>
        <w:spacing w:before="210" w:after="0"/>
        <w:ind w:left="120"/>
        <w:jc w:val="both"/>
      </w:pPr>
      <w:r>
        <w:rPr>
          <w:rFonts w:ascii="Times New Roman" w:hAnsi="Times New Roman"/>
          <w:b/>
          <w:i w:val="false"/>
          <w:color w:val="000000"/>
          <w:sz w:val="22"/>
        </w:rPr>
        <w:t>261—44.8</w:t>
      </w:r>
      <w:r>
        <w:rPr>
          <w:rFonts w:ascii="Times New Roman" w:hAnsi="Times New Roman"/>
          <w:b/>
          <w:i w:val="false"/>
          <w:color w:val="000000"/>
          <w:sz w:val="22"/>
        </w:rPr>
        <w:t xml:space="preserve">(28H) </w:t>
      </w:r>
      <w:r>
        <w:rPr>
          <w:rFonts w:ascii="Times New Roman" w:hAnsi="Times New Roman"/>
          <w:b/>
          <w:i w:val="false"/>
          <w:color w:val="000000"/>
          <w:sz w:val="22"/>
        </w:rPr>
        <w:t xml:space="preserve">Financial management standards. </w:t>
      </w:r>
      <w:r>
        <w:rPr>
          <w:rFonts w:ascii="Times New Roman" w:hAnsi="Times New Roman"/>
          <w:b w:val="false"/>
          <w:i w:val="false"/>
          <w:color w:val="000000"/>
          <w:sz w:val="22"/>
        </w:rPr>
        <w:t>All contracts executed under these rules are subject to audit. The grantee shall be responsible for the procurement of audit services and for payment of audit costs. Audits may be performed by the state auditor’s office or by a qualified independent auditor. The grantee shall comply with the Single Audit Act of 1984, P.L. 98-502, or with other applicable laws and regulations, as appropriate, in preparing the audit. Copies of the audit report shall be transmitted to the department within 30 days of its completion.</w:t>
      </w:r>
    </w:p>
    <w:p>
      <w:pPr>
        <w:spacing w:before="0" w:after="0"/>
        <w:ind w:left="120"/>
        <w:jc w:val="both"/>
      </w:pPr>
      <w:r>
        <w:rPr>
          <w:rFonts w:ascii="Times New Roman" w:hAnsi="Times New Roman"/>
          <w:b/>
          <w:i w:val="false"/>
          <w:color w:val="000000"/>
          <w:sz w:val="22"/>
        </w:rPr>
        <w:t>261—44.9</w:t>
      </w:r>
      <w:r>
        <w:rPr>
          <w:rFonts w:ascii="Times New Roman" w:hAnsi="Times New Roman"/>
          <w:b/>
          <w:i w:val="false"/>
          <w:color w:val="000000"/>
          <w:sz w:val="22"/>
        </w:rPr>
        <w:t xml:space="preserve">(28H) </w:t>
      </w:r>
      <w:r>
        <w:rPr>
          <w:rFonts w:ascii="Times New Roman" w:hAnsi="Times New Roman"/>
          <w:b/>
          <w:i w:val="false"/>
          <w:color w:val="000000"/>
          <w:sz w:val="22"/>
        </w:rPr>
        <w:t xml:space="preserve">Record keeping and retention. </w:t>
      </w:r>
      <w:r>
        <w:rPr>
          <w:rFonts w:ascii="Times New Roman" w:hAnsi="Times New Roman"/>
          <w:b w:val="false"/>
          <w:i w:val="false"/>
          <w:color w:val="000000"/>
          <w:sz w:val="22"/>
        </w:rPr>
        <w:t>Financial records, supporting documents, statistical records, and all other records pertinent to the grant shall be retained by the recipient for three years beyond the submission of the final invoice, or longer if any litigation or audit is begun or if a claim is initiated involving the grant covered by the records. In these instances, the records shall be retained until the litigation, audit or claim has been resolved.</w:t>
      </w:r>
    </w:p>
    <w:p>
      <w:pPr>
        <w:spacing w:before="0" w:after="0"/>
        <w:ind w:left="120"/>
        <w:jc w:val="both"/>
      </w:pPr>
      <w:r>
        <w:rPr>
          <w:rFonts w:ascii="Times New Roman" w:hAnsi="Times New Roman"/>
          <w:b w:val="false"/>
          <w:i w:val="false"/>
          <w:color w:val="000000"/>
          <w:sz w:val="22"/>
        </w:rPr>
        <w:t>Representatives of the department and the state auditor’s office shall have access to all books, accounts, documents, records, and other property belonging to or in use by the recipient pertaining to the receipt of assistance under these rules.</w:t>
      </w:r>
    </w:p>
    <w:p>
      <w:pPr>
        <w:spacing w:before="210" w:after="0"/>
        <w:ind w:left="120"/>
        <w:jc w:val="both"/>
      </w:pPr>
      <w:r>
        <w:rPr>
          <w:rFonts w:ascii="Times New Roman" w:hAnsi="Times New Roman"/>
          <w:b/>
          <w:i w:val="false"/>
          <w:color w:val="000000"/>
          <w:sz w:val="22"/>
        </w:rPr>
        <w:t>261—44.10</w:t>
      </w:r>
      <w:r>
        <w:rPr>
          <w:rFonts w:ascii="Times New Roman" w:hAnsi="Times New Roman"/>
          <w:b/>
          <w:i w:val="false"/>
          <w:color w:val="000000"/>
          <w:sz w:val="22"/>
        </w:rPr>
        <w:t xml:space="preserve">(28H) </w:t>
      </w:r>
      <w:r>
        <w:rPr>
          <w:rFonts w:ascii="Times New Roman" w:hAnsi="Times New Roman"/>
          <w:b/>
          <w:i w:val="false"/>
          <w:color w:val="000000"/>
          <w:sz w:val="22"/>
        </w:rPr>
        <w:t xml:space="preserve">Progress reports. </w:t>
      </w:r>
      <w:r>
        <w:rPr>
          <w:rFonts w:ascii="Times New Roman" w:hAnsi="Times New Roman"/>
          <w:b w:val="false"/>
          <w:i w:val="false"/>
          <w:color w:val="000000"/>
          <w:sz w:val="22"/>
        </w:rPr>
        <w:t>Each grantee shall submit quarterly progress reports which outline its progress in the activities outlined by its application work plan. The progress report is due 30 days following the end of each calendar quarter.</w:t>
      </w:r>
    </w:p>
    <w:p>
      <w:pPr>
        <w:spacing w:before="210" w:after="0"/>
        <w:ind w:left="120"/>
        <w:jc w:val="both"/>
      </w:pPr>
      <w:r>
        <w:rPr>
          <w:rFonts w:ascii="Times New Roman" w:hAnsi="Times New Roman"/>
          <w:b/>
          <w:i w:val="false"/>
          <w:color w:val="000000"/>
          <w:sz w:val="22"/>
        </w:rPr>
        <w:t>261—44.11</w:t>
      </w:r>
      <w:r>
        <w:rPr>
          <w:rFonts w:ascii="Times New Roman" w:hAnsi="Times New Roman"/>
          <w:b/>
          <w:i w:val="false"/>
          <w:color w:val="000000"/>
          <w:sz w:val="22"/>
        </w:rPr>
        <w:t xml:space="preserve">(28H) </w:t>
      </w:r>
      <w:r>
        <w:rPr>
          <w:rFonts w:ascii="Times New Roman" w:hAnsi="Times New Roman"/>
          <w:b/>
          <w:i w:val="false"/>
          <w:color w:val="000000"/>
          <w:sz w:val="22"/>
        </w:rPr>
        <w:t xml:space="preserve">Noncompliance. </w:t>
      </w:r>
      <w:r>
        <w:rPr>
          <w:rFonts w:ascii="Times New Roman" w:hAnsi="Times New Roman"/>
          <w:b w:val="false"/>
          <w:i w:val="false"/>
          <w:color w:val="000000"/>
          <w:sz w:val="22"/>
        </w:rPr>
        <w:t>If the department finds that the grantee is not in compliance with the requirements of these rules or grant agreement, the grantee may be required to refund to the state all disallowed costs. Reasons for a finding of noncompliance include, but are not limited to, a finding that the grant funds were used for unauthorized activities, the grantee has failed to complete approved activities in a timely manner, the grantee has failed to comply with applicable laws and regulations of the grant agreement, or the grantee lacks the capacity to carry out the purposes of the program.</w:t>
      </w:r>
    </w:p>
    <w:p>
      <w:pPr>
        <w:spacing w:before="210" w:after="0"/>
        <w:ind w:left="120"/>
        <w:jc w:val="both"/>
      </w:pPr>
      <w:r>
        <w:rPr>
          <w:rFonts w:ascii="Times New Roman" w:hAnsi="Times New Roman"/>
          <w:b/>
          <w:i w:val="false"/>
          <w:color w:val="000000"/>
          <w:sz w:val="22"/>
        </w:rPr>
        <w:t>261—44.12</w:t>
      </w:r>
      <w:r>
        <w:rPr>
          <w:rFonts w:ascii="Times New Roman" w:hAnsi="Times New Roman"/>
          <w:b/>
          <w:i w:val="false"/>
          <w:color w:val="000000"/>
          <w:sz w:val="22"/>
        </w:rPr>
        <w:t xml:space="preserve">(28H) </w:t>
      </w:r>
      <w:r>
        <w:rPr>
          <w:rFonts w:ascii="Times New Roman" w:hAnsi="Times New Roman"/>
          <w:b/>
          <w:i w:val="false"/>
          <w:color w:val="000000"/>
          <w:sz w:val="22"/>
        </w:rPr>
        <w:t xml:space="preserve">Grant closeouts. </w:t>
      </w:r>
      <w:r>
        <w:rPr>
          <w:rFonts w:ascii="Times New Roman" w:hAnsi="Times New Roman"/>
          <w:b w:val="false"/>
          <w:i w:val="false"/>
          <w:color w:val="000000"/>
          <w:sz w:val="22"/>
        </w:rPr>
        <w:t>Upon completion of the time period covered by the grant agreement, the department shall initiate grant closeout.</w:t>
      </w:r>
    </w:p>
    <w:p>
      <w:pPr>
        <w:spacing w:before="210" w:after="0"/>
        <w:ind w:left="120"/>
        <w:jc w:val="both"/>
      </w:pPr>
      <w:r>
        <w:rPr>
          <w:rFonts w:ascii="Times New Roman" w:hAnsi="Times New Roman"/>
          <w:b/>
          <w:i w:val="false"/>
          <w:color w:val="000000"/>
          <w:sz w:val="22"/>
        </w:rPr>
        <w:t>261—44.13</w:t>
      </w:r>
      <w:r>
        <w:rPr>
          <w:rFonts w:ascii="Times New Roman" w:hAnsi="Times New Roman"/>
          <w:b/>
          <w:i w:val="false"/>
          <w:color w:val="000000"/>
          <w:sz w:val="22"/>
        </w:rPr>
        <w:t xml:space="preserve">(28H) </w:t>
      </w:r>
      <w:r>
        <w:rPr>
          <w:rFonts w:ascii="Times New Roman" w:hAnsi="Times New Roman"/>
          <w:b/>
          <w:i w:val="false"/>
          <w:color w:val="000000"/>
          <w:sz w:val="22"/>
        </w:rPr>
        <w:t xml:space="preserve">Compliance with state laws and regulations. </w:t>
      </w:r>
      <w:r>
        <w:rPr>
          <w:rFonts w:ascii="Times New Roman" w:hAnsi="Times New Roman"/>
          <w:b w:val="false"/>
          <w:i w:val="false"/>
          <w:color w:val="000000"/>
          <w:sz w:val="22"/>
        </w:rPr>
        <w:t>The grantee must comply with any provisions of the Iowa Code governing activities performed with funds awarded under these rules.</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28H.1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2007 Iowa Acts, Senate File 444</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11/22/89, Notice 10/18/89—published 12/13/89, effective 1/17/90]</w:t>
      </w:r>
    </w:p>
    <w:p>
      <w:pPr>
        <w:spacing w:before="0" w:after="0"/>
        <w:ind w:left="120"/>
        <w:jc w:val="center"/>
      </w:pPr>
      <w:r>
        <w:rPr>
          <w:rFonts w:ascii="Times New Roman" w:hAnsi="Times New Roman"/>
          <w:b w:val="false"/>
          <w:i w:val="false"/>
          <w:color w:val="000000"/>
          <w:sz w:val="21"/>
        </w:rPr>
        <w:t>[Filed 9/20/07, Notice 7/4/07—published 10/10/07, effective 11/14/07]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8H.1.pdf" Type="http://schemas.openxmlformats.org/officeDocument/2006/relationships/hyperlink" Id="rId5"/>
    <Relationship TargetMode="External" Target="https://www.legis.iowa.gov/docs/ico/chapter/28E.pdf" Type="http://schemas.openxmlformats.org/officeDocument/2006/relationships/hyperlink" Id="rId6"/>
    <Relationship TargetMode="External" Target="https://www.legis.iowa.gov/docs/ico/chapter/28H.1.pdf" Type="http://schemas.openxmlformats.org/officeDocument/2006/relationships/hyperlink" Id="rId7"/>
    <Relationship TargetMode="External" Target="https://www.legis.iowa.gov/docs/iac/rule/261.44.5.pdf" Type="http://schemas.openxmlformats.org/officeDocument/2006/relationships/hyperlink" Id="rId8"/>
    <Relationship TargetMode="External" Target="https://www.legis.iowa.gov/docs/iac/rule/261.44.5.pdf" Type="http://schemas.openxmlformats.org/officeDocument/2006/relationships/hyperlink" Id="rId9"/>
    <Relationship TargetMode="External" Target="https://www.legis.iowa.gov/docs/iac/rule/261.44.5.pdf" Type="http://schemas.openxmlformats.org/officeDocument/2006/relationships/hyperlink" Id="rId10"/>
    <Relationship TargetMode="External" Target="https://www.legis.iowa.gov/docs/iac/rule/261.44.5.pdf" Type="http://schemas.openxmlformats.org/officeDocument/2006/relationships/hyperlink" Id="rId11"/>
    <Relationship TargetMode="External" Target="https://www.legis.iowa.gov/docs/iac/rule/261.44.5.pdf" Type="http://schemas.openxmlformats.org/officeDocument/2006/relationships/hyperlink" Id="rId12"/>
    <Relationship TargetMode="External" Target="https://www.legis.iowa.gov/docs/ico/chapter/28H.1.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