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HOOVER PRESIDENTIAL LIBRARY TAX CREDIT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261—43.1</w:t>
      </w:r>
      <w:r>
        <w:rPr>
          <w:rFonts w:ascii="Times New Roman" w:hAnsi="Times New Roman"/>
          <w:b/>
          <w:i w:val="false"/>
          <w:color w:val="000000"/>
          <w:sz w:val="22"/>
        </w:rPr>
        <w:t xml:space="preserve">(15E)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 Hoover presidential library tax credit is to encourage donations to the Hoover presidential foundation for the Hoover presidential library and museum renovation project.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6087C</w:t>
      </w:r>
      <w:r>
        <w:rPr>
          <w:rFonts w:ascii="Times New Roman" w:hAnsi="Times New Roman"/>
          <w:b w:val="false"/>
          <w:i w:val="false"/>
          <w:color w:val="000000"/>
          <w:sz w:val="16"/>
        </w:rPr>
        <w:t>, IAB 12/15/21, effective 11/19/21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261—43.2</w:t>
      </w:r>
      <w:r>
        <w:rPr>
          <w:rFonts w:ascii="Times New Roman" w:hAnsi="Times New Roman"/>
          <w:b/>
          <w:i w:val="false"/>
          <w:color w:val="000000"/>
          <w:sz w:val="22"/>
        </w:rPr>
        <w:t xml:space="preserve">(15E)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Iowa department of revenue.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“Donor” </w:t>
      </w:r>
      <w:r>
        <w:rPr>
          <w:rFonts w:ascii="Times New Roman" w:hAnsi="Times New Roman"/>
          <w:b w:val="false"/>
          <w:i w:val="false"/>
          <w:color w:val="000000"/>
          <w:sz w:val="22"/>
        </w:rPr>
        <w:t xml:space="preserve">means a person who makes an unconditional charitable donation to the Hoover presidential foundation for the Hoover presidential library and museum renovation project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credit” </w:t>
      </w:r>
      <w:r>
        <w:rPr>
          <w:rFonts w:ascii="Times New Roman" w:hAnsi="Times New Roman"/>
          <w:b w:val="false"/>
          <w:i w:val="false"/>
          <w:color w:val="000000"/>
          <w:sz w:val="22"/>
        </w:rPr>
        <w:t xml:space="preserve">means the amount a taxpayer may claim against the taxes imposed in Iowa Code chapter </w:t>
      </w:r>
      <w:hyperlink r:id="rId6">
        <w:r>
          <w:rPr>
            <w:rStyle w:val="Hyperlink"/>
            <w:rFonts w:ascii="Times New Roman" w:hAnsi="Times New Roman"/>
            <w:b w:val="false"/>
            <w:i w:val="false"/>
            <w:color w:val="000000"/>
            <w:sz w:val="22"/>
          </w:rPr>
          <w:t>422, subchapters II, III, and V</w:t>
        </w:r>
      </w:hyperlink>
      <w:r>
        <w:rPr>
          <w:rFonts w:ascii="Times New Roman" w:hAnsi="Times New Roman"/>
          <w:b w:val="false"/>
          <w:i w:val="false"/>
          <w:color w:val="000000"/>
          <w:sz w:val="22"/>
        </w:rPr>
        <w:t xml:space="preserve">, and in Iowa Code chapter </w:t>
      </w:r>
      <w:hyperlink r:id="rId7">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and against the moneys and credits tax imposed in Iowa Code section </w:t>
      </w:r>
      <w:hyperlink r:id="rId8">
        <w:r>
          <w:rPr>
            <w:rStyle w:val="Hyperlink"/>
            <w:rFonts w:ascii="Times New Roman" w:hAnsi="Times New Roman"/>
            <w:b w:val="false"/>
            <w:i w:val="false"/>
            <w:color w:val="000000"/>
            <w:sz w:val="22"/>
          </w:rPr>
          <w:t>533.329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6087C</w:t>
      </w:r>
      <w:r>
        <w:rPr>
          <w:rFonts w:ascii="Times New Roman" w:hAnsi="Times New Roman"/>
          <w:b w:val="false"/>
          <w:i w:val="false"/>
          <w:color w:val="000000"/>
          <w:sz w:val="16"/>
        </w:rPr>
        <w:t>, IAB 12/15/21, effective 11/19/21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261—43.3</w:t>
      </w:r>
      <w:r>
        <w:rPr>
          <w:rFonts w:ascii="Times New Roman" w:hAnsi="Times New Roman"/>
          <w:b/>
          <w:i w:val="false"/>
          <w:color w:val="000000"/>
          <w:sz w:val="22"/>
        </w:rPr>
        <w:t xml:space="preserve">(15E) </w:t>
      </w:r>
      <w:r>
        <w:rPr>
          <w:rFonts w:ascii="Times New Roman" w:hAnsi="Times New Roman"/>
          <w:b/>
          <w:i w:val="false"/>
          <w:color w:val="000000"/>
          <w:sz w:val="22"/>
        </w:rPr>
        <w:t xml:space="preserve">Authorization of tax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on or after January 1, 2021, but before January 1, 2025, a tax credit shall be allowed against the taxes imposed in Iowa Code chapter </w:t>
      </w:r>
      <w:hyperlink r:id="rId9">
        <w:r>
          <w:rPr>
            <w:rStyle w:val="Hyperlink"/>
            <w:rFonts w:ascii="Times New Roman" w:hAnsi="Times New Roman"/>
            <w:b w:val="false"/>
            <w:i w:val="false"/>
            <w:color w:val="000000"/>
            <w:sz w:val="22"/>
          </w:rPr>
          <w:t>422, subchapters II, III, and V</w:t>
        </w:r>
      </w:hyperlink>
      <w:r>
        <w:rPr>
          <w:rFonts w:ascii="Times New Roman" w:hAnsi="Times New Roman"/>
          <w:b w:val="false"/>
          <w:i w:val="false"/>
          <w:color w:val="000000"/>
          <w:sz w:val="22"/>
        </w:rPr>
        <w:t xml:space="preserve">, and in Iowa Code chapter </w:t>
      </w:r>
      <w:hyperlink r:id="rId10">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and against the moneys and credits tax imposed in Iowa Code section </w:t>
      </w:r>
      <w:hyperlink r:id="rId11">
        <w:r>
          <w:rPr>
            <w:rStyle w:val="Hyperlink"/>
            <w:rFonts w:ascii="Times New Roman" w:hAnsi="Times New Roman"/>
            <w:b w:val="false"/>
            <w:i w:val="false"/>
            <w:color w:val="000000"/>
            <w:sz w:val="22"/>
          </w:rPr>
          <w:t>533.329</w:t>
        </w:r>
      </w:hyperlink>
      <w:r>
        <w:rPr>
          <w:rFonts w:ascii="Times New Roman" w:hAnsi="Times New Roman"/>
          <w:b w:val="false"/>
          <w:i w:val="false"/>
          <w:color w:val="000000"/>
          <w:sz w:val="22"/>
        </w:rPr>
        <w:t xml:space="preserve">, equal to 25 percent of a donor’s charitable donation made on or after July 1, 2021, to the Hoover presidential foundation for the Hoover presidential library and museum renovation project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43.3(2)</w:t>
      </w:r>
      <w:r>
        <w:rPr>
          <w:rFonts w:ascii="Times New Roman" w:hAnsi="Times New Roman"/>
          <w:b w:val="false"/>
          <w:i w:val="false"/>
          <w:color w:val="000000"/>
          <w:sz w:val="22"/>
        </w:rPr>
        <w:t> </w:t>
      </w:r>
      <w:r>
        <w:rPr>
          <w:rFonts w:ascii="Times New Roman" w:hAnsi="Times New Roman"/>
          <w:b w:val="false"/>
          <w:i w:val="false"/>
          <w:color w:val="000000"/>
          <w:sz w:val="22"/>
        </w:rPr>
        <w:t xml:space="preserve">A donor shall not claim a tax credit for a donation made during a tax year beginning before January 1, 2021, or after December 31, 2024.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43.3(3)</w:t>
      </w:r>
      <w:r>
        <w:rPr>
          <w:rFonts w:ascii="Times New Roman" w:hAnsi="Times New Roman"/>
          <w:b w:val="false"/>
          <w:i w:val="false"/>
          <w:color w:val="000000"/>
          <w:sz w:val="22"/>
        </w:rPr>
        <w:t> </w:t>
      </w:r>
      <w:r>
        <w:rPr>
          <w:rFonts w:ascii="Times New Roman" w:hAnsi="Times New Roman"/>
          <w:b w:val="false"/>
          <w:i w:val="false"/>
          <w:color w:val="000000"/>
          <w:sz w:val="22"/>
        </w:rPr>
        <w:t xml:space="preserve">To receive the tax credit, a donor shall file a claim with the department in accordance with any applicable administrative rules adopted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6087C</w:t>
      </w:r>
      <w:r>
        <w:rPr>
          <w:rFonts w:ascii="Times New Roman" w:hAnsi="Times New Roman"/>
          <w:b w:val="false"/>
          <w:i w:val="false"/>
          <w:color w:val="000000"/>
          <w:sz w:val="16"/>
        </w:rPr>
        <w:t>, IAB 12/15/21, effective 11/19/21</w:t>
      </w:r>
      <w:r>
        <w:rPr>
          <w:rFonts w:ascii="Times New Roman" w:hAnsi="Times New Roman"/>
          <w:b w:val="false"/>
          <w:i w:val="false"/>
          <w:color w:val="000000"/>
          <w:sz w:val="16"/>
        </w:rPr>
        <w:t xml:space="preserve">; </w:t>
      </w:r>
      <w:r>
        <w:rPr>
          <w:rFonts w:ascii="Times New Roman" w:hAnsi="Times New Roman"/>
          <w:b/>
          <w:i w:val="false"/>
          <w:color w:val="000000"/>
          <w:sz w:val="16"/>
        </w:rPr>
        <w:t>ARC 7492C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261—43.4</w:t>
      </w:r>
      <w:r>
        <w:rPr>
          <w:rFonts w:ascii="Times New Roman" w:hAnsi="Times New Roman"/>
          <w:b/>
          <w:i w:val="false"/>
          <w:color w:val="000000"/>
          <w:sz w:val="22"/>
        </w:rPr>
        <w:t xml:space="preserve">(15E) </w:t>
      </w:r>
      <w:r>
        <w:rPr>
          <w:rFonts w:ascii="Times New Roman" w:hAnsi="Times New Roman"/>
          <w:b/>
          <w:i w:val="false"/>
          <w:color w:val="000000"/>
          <w:sz w:val="22"/>
        </w:rPr>
        <w:t xml:space="preserve">Tax credit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43.4(1)</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tax credits authorized for the program shall not exceed a total of $5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w:t>
      </w:r>
      <w:r>
        <w:rPr>
          <w:rFonts w:ascii="Times New Roman" w:hAnsi="Times New Roman"/>
          <w:b w:val="false"/>
          <w:i w:val="false"/>
          <w:color w:val="000000"/>
          <w:sz w:val="22"/>
        </w:rPr>
        <w:t> </w:t>
      </w:r>
      <w:r>
        <w:rPr>
          <w:rFonts w:ascii="Times New Roman" w:hAnsi="Times New Roman"/>
          <w:b w:val="false"/>
          <w:i w:val="false"/>
          <w:color w:val="000000"/>
          <w:sz w:val="22"/>
        </w:rPr>
        <w:t>The maximum amount of tax credits granted to any one person shall not exceed $250,000.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43.4(3)</w:t>
      </w:r>
      <w:r>
        <w:rPr>
          <w:rFonts w:ascii="Times New Roman" w:hAnsi="Times New Roman"/>
          <w:b w:val="false"/>
          <w:i w:val="false"/>
          <w:color w:val="000000"/>
          <w:sz w:val="22"/>
        </w:rPr>
        <w:t> </w:t>
      </w:r>
      <w:r>
        <w:rPr>
          <w:rFonts w:ascii="Times New Roman" w:hAnsi="Times New Roman"/>
          <w:b w:val="false"/>
          <w:i w:val="false"/>
          <w:color w:val="000000"/>
          <w:sz w:val="22"/>
        </w:rPr>
        <w:t>Ten percent of the aggregate amount of tax credits authorized, or $500,000, shall be reserved for those donations in amounts of $30,000 or less. If any portion of the reserved tax credits has not been distributed by September 1, 2023, the remaining reserved tax credits shall be available after September 1, 2023, to any other eligible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6087C</w:t>
      </w:r>
      <w:r>
        <w:rPr>
          <w:rFonts w:ascii="Times New Roman" w:hAnsi="Times New Roman"/>
          <w:b w:val="false"/>
          <w:i w:val="false"/>
          <w:color w:val="000000"/>
          <w:sz w:val="16"/>
        </w:rPr>
        <w:t>, IAB 12/15/21, effective 11/19/21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261—43.5</w:t>
      </w:r>
      <w:r>
        <w:rPr>
          <w:rFonts w:ascii="Times New Roman" w:hAnsi="Times New Roman"/>
          <w:b/>
          <w:i w:val="false"/>
          <w:color w:val="000000"/>
          <w:sz w:val="22"/>
        </w:rPr>
        <w:t xml:space="preserve">(15E) </w:t>
      </w:r>
      <w:r>
        <w:rPr>
          <w:rFonts w:ascii="Times New Roman" w:hAnsi="Times New Roman"/>
          <w:b/>
          <w:i w:val="false"/>
          <w:color w:val="000000"/>
          <w:sz w:val="22"/>
        </w:rPr>
        <w:t xml:space="preserve">Distribution process and review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w:t>
      </w:r>
      <w:r>
        <w:rPr>
          <w:rFonts w:ascii="Times New Roman" w:hAnsi="Times New Roman"/>
          <w:b w:val="false"/>
          <w:i w:val="false"/>
          <w:color w:val="000000"/>
          <w:sz w:val="22"/>
        </w:rPr>
        <w:t> </w:t>
      </w:r>
      <w:r>
        <w:rPr>
          <w:rFonts w:ascii="Times New Roman" w:hAnsi="Times New Roman"/>
          <w:b w:val="false"/>
          <w:i w:val="false"/>
          <w:color w:val="000000"/>
          <w:sz w:val="22"/>
        </w:rPr>
        <w:t>The authority shall develop and make available a standardized application pertaining to the authorization and distribution of tax credits. The application shall request information to document that a qualified donation has been made, and any other information required by the authority. Qualifying donors shall be issued a tax credit certificate to be included with the donor’s Iowa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will be accepted and awarded on an ongoing basis.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w:t>
      </w:r>
      <w:r>
        <w:rPr>
          <w:rFonts w:ascii="Times New Roman" w:hAnsi="Times New Roman"/>
          <w:b w:val="false"/>
          <w:i w:val="false"/>
          <w:color w:val="000000"/>
          <w:sz w:val="22"/>
        </w:rPr>
        <w:t> </w:t>
      </w:r>
      <w:r>
        <w:rPr>
          <w:rFonts w:ascii="Times New Roman" w:hAnsi="Times New Roman"/>
          <w:b w:val="false"/>
          <w:i w:val="false"/>
          <w:color w:val="000000"/>
          <w:sz w:val="22"/>
        </w:rPr>
        <w:t xml:space="preserve">If, before September 1, 2023, the authority receives tax credit applications in excess of $4.5 million for donations greater than $30,000, the authority shall establish a waitlist to receive any portion of the reserved tax credits that are not distributed by September 1, 2023. Applications on the waitlist shall be prioritized by the date the authority received the applications. If any portion of the reserved tax credits under </w:t>
      </w:r>
      <w:hyperlink r:id="rId12">
        <w:r>
          <w:rPr>
            <w:rStyle w:val="Hyperlink"/>
            <w:rFonts w:ascii="Times New Roman" w:hAnsi="Times New Roman"/>
            <w:b w:val="false"/>
            <w:i w:val="false"/>
            <w:color w:val="000000"/>
            <w:sz w:val="22"/>
          </w:rPr>
          <w:t>subrule 43.4(3)</w:t>
        </w:r>
      </w:hyperlink>
      <w:r>
        <w:rPr>
          <w:rFonts w:ascii="Times New Roman" w:hAnsi="Times New Roman"/>
          <w:b w:val="false"/>
          <w:i w:val="false"/>
          <w:color w:val="000000"/>
          <w:sz w:val="22"/>
        </w:rPr>
        <w:t xml:space="preserve"> becomes available after September 1, 2023, the authority shall approve the waitlisted applications and issue tax credit certificates in the order they are listed on the waitlist, up to the amount of the remaining reserved tax credits. Placement on a waitlist does not constitute a promise binding the state that persons placed on the waitlist will actually receive a tax credit in a future year. The availability of a tax credit and approval of a tax credit application in a future year is contingent upon the availability of tax credits in that particular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6087C</w:t>
      </w:r>
      <w:r>
        <w:rPr>
          <w:rFonts w:ascii="Times New Roman" w:hAnsi="Times New Roman"/>
          <w:b w:val="false"/>
          <w:i w:val="false"/>
          <w:color w:val="000000"/>
          <w:sz w:val="16"/>
        </w:rPr>
        <w:t>, IAB 12/15/21, effective 11/19/21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These rules are intended to implement Iowa Code section 1</w:t>
      </w:r>
      <w:hyperlink r:id="rId13">
        <w:r>
          <w:rPr>
            <w:rStyle w:val="Hyperlink"/>
            <w:rFonts w:ascii="Times New Roman" w:hAnsi="Times New Roman"/>
            <w:b w:val="false"/>
            <w:i w:val="false"/>
            <w:color w:val="000000"/>
            <w:sz w:val="22"/>
          </w:rPr>
          <w:t>5E.364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6087C</w:t>
      </w:r>
      <w:r>
        <w:rPr>
          <w:rFonts w:ascii="Times New Roman" w:hAnsi="Times New Roman"/>
          <w:b w:val="false"/>
          <w:i w:val="false"/>
          <w:color w:val="000000"/>
          <w:sz w:val="21"/>
        </w:rPr>
        <w:t xml:space="preserve"> (Notice ARC 5908C, IAB 9/22/21)</w:t>
      </w:r>
      <w:r>
        <w:rPr>
          <w:rFonts w:ascii="Times New Roman" w:hAnsi="Times New Roman"/>
          <w:b w:val="false"/>
          <w:i w:val="false"/>
          <w:color w:val="000000"/>
          <w:sz w:val="21"/>
        </w:rPr>
        <w:t>, IAB 12/15/21, effective 11/19/21]</w:t>
      </w:r>
    </w:p>
    <w:p>
      <w:pPr>
        <w:spacing w:before="0" w:after="0"/>
        <w:ind w:left="120"/>
        <w:jc w:val="center"/>
      </w:pPr>
      <w:r>
        <w:rPr>
          <w:rFonts w:ascii="Times New Roman" w:hAnsi="Times New Roman"/>
          <w:b w:val="false"/>
          <w:i w:val="false"/>
          <w:color w:val="000000"/>
          <w:sz w:val="21"/>
        </w:rPr>
        <w:t>[Filed ARC 7492C</w:t>
      </w:r>
      <w:r>
        <w:rPr>
          <w:rFonts w:ascii="Times New Roman" w:hAnsi="Times New Roman"/>
          <w:b w:val="false"/>
          <w:i w:val="false"/>
          <w:color w:val="000000"/>
          <w:sz w:val="21"/>
        </w:rPr>
        <w:t xml:space="preserve"> (Notice ARC 7106C, IAB 11/1/23)</w:t>
      </w:r>
      <w:r>
        <w:rPr>
          <w:rFonts w:ascii="Times New Roman" w:hAnsi="Times New Roman"/>
          <w:b w:val="false"/>
          <w:i w:val="false"/>
          <w:color w:val="000000"/>
          <w:sz w:val="21"/>
        </w:rPr>
        <w:t>, IAB 1/10/24, effective 2/14/24]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422.pdf" Type="http://schemas.openxmlformats.org/officeDocument/2006/relationships/hyperlink" Id="rId6"/>
    <Relationship TargetMode="External" Target="https://www.legis.iowa.gov/docs/ico/chapter/432.pdf" Type="http://schemas.openxmlformats.org/officeDocument/2006/relationships/hyperlink" Id="rId7"/>
    <Relationship TargetMode="External" Target="https://www.legis.iowa.gov/docs/ico/chapter/533.329.pdf" Type="http://schemas.openxmlformats.org/officeDocument/2006/relationships/hyperlink" Id="rId8"/>
    <Relationship TargetMode="External" Target="https://www.legis.iowa.gov/docs/ico/chapter/422.pdf" Type="http://schemas.openxmlformats.org/officeDocument/2006/relationships/hyperlink" Id="rId9"/>
    <Relationship TargetMode="External" Target="https://www.legis.iowa.gov/docs/ico/chapter/432.pdf" Type="http://schemas.openxmlformats.org/officeDocument/2006/relationships/hyperlink" Id="rId10"/>
    <Relationship TargetMode="External" Target="https://www.legis.iowa.gov/docs/ico/chapter/533.329.pdf" Type="http://schemas.openxmlformats.org/officeDocument/2006/relationships/hyperlink" Id="rId11"/>
    <Relationship TargetMode="External" Target="https://www.legis.iowa.gov/docs/iac/rule/261.43.4.pdf" Type="http://schemas.openxmlformats.org/officeDocument/2006/relationships/hyperlink" Id="rId12"/>
    <Relationship TargetMode="External" Target="https://www.legis.iowa.gov/docs/ico/chapter/15E.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