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406</w:t>
      </w:r>
    </w:p>
    <w:p>
      <w:pPr>
        <w:spacing w:before="0" w:after="0"/>
        <w:ind w:left="120"/>
        <w:jc w:val="center"/>
      </w:pPr>
      <w:r>
        <w:rPr>
          <w:rFonts w:ascii="Times New Roman" w:hAnsi="Times New Roman"/>
          <w:b w:val="false"/>
          <w:i w:val="false"/>
          <w:color w:val="000000"/>
          <w:sz w:val="21"/>
        </w:rPr>
        <w:t>ENERGY INFRASTRUCTURE REVOLVING LOAN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261—406.1</w:t>
      </w:r>
      <w:r>
        <w:rPr>
          <w:rFonts w:ascii="Times New Roman" w:hAnsi="Times New Roman"/>
          <w:b/>
          <w:i w:val="false"/>
          <w:color w:val="000000"/>
          <w:sz w:val="22"/>
        </w:rPr>
        <w:t xml:space="preserve">(15,476)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“Affiliates” </w:t>
      </w:r>
      <w:r>
        <w:rPr>
          <w:rFonts w:ascii="Times New Roman" w:hAnsi="Times New Roman"/>
          <w:b w:val="false"/>
          <w:i w:val="false"/>
          <w:color w:val="000000"/>
          <w:sz w:val="22"/>
        </w:rPr>
        <w:t>means any entity which directly or indirectly, through one or more intermediaries, controls, is controlled by, or is under common control with another entity or person. “Control” as used in this definition means the possession, direct or indirect, of the power to direct or cause the direction of the management and policies of an enterprise through ownership, by contract or otherwise. A voting interest of 10 percent or more creates a rebuttable presumption of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governing board of the Iowa energy center established pursuant to Iowa Code section </w:t>
      </w:r>
      <w:hyperlink r:id="rId6">
        <w:r>
          <w:rPr>
            <w:rStyle w:val="Hyperlink"/>
            <w:rFonts w:ascii="Times New Roman" w:hAnsi="Times New Roman"/>
            <w:b w:val="false"/>
            <w:i w:val="false"/>
            <w:color w:val="000000"/>
            <w:sz w:val="22"/>
          </w:rPr>
          <w:t>15.120(2)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“Borrower” </w:t>
      </w:r>
      <w:r>
        <w:rPr>
          <w:rFonts w:ascii="Times New Roman" w:hAnsi="Times New Roman"/>
          <w:b w:val="false"/>
          <w:i w:val="false"/>
          <w:color w:val="000000"/>
          <w:sz w:val="22"/>
        </w:rPr>
        <w:t>means an applicant for the program that is approved for a loan or forgivable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“Energy infrastructure” </w:t>
      </w:r>
      <w:r>
        <w:rPr>
          <w:rFonts w:ascii="Times New Roman" w:hAnsi="Times New Roman"/>
          <w:b w:val="false"/>
          <w:i w:val="false"/>
          <w:color w:val="000000"/>
          <w:sz w:val="22"/>
        </w:rPr>
        <w:t>means the same as defined in Iowa Code section 476.46A(3)</w:t>
      </w:r>
      <w:r>
        <w:rPr>
          <w:rFonts w:ascii="Times New Roman" w:hAnsi="Times New Roman"/>
          <w:b w:val="false"/>
          <w:i/>
          <w:color w:val="000000"/>
          <w:sz w:val="22"/>
        </w:rPr>
        <w:t>“a”</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2021 Iowa Acts, Senate File 619</w:t>
      </w:r>
      <w:r>
        <w:rPr>
          <w:rFonts w:ascii="Times New Roman" w:hAnsi="Times New Roman"/>
          <w:b w:val="false"/>
          <w:i w:val="false"/>
          <w:color w:val="000000"/>
          <w:sz w:val="22"/>
        </w:rPr>
        <w:t>, section 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“Iowa energy center”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“IEC” </w:t>
      </w:r>
      <w:r>
        <w:rPr>
          <w:rFonts w:ascii="Times New Roman" w:hAnsi="Times New Roman"/>
          <w:b w:val="false"/>
          <w:i w:val="false"/>
          <w:color w:val="000000"/>
          <w:sz w:val="22"/>
        </w:rPr>
        <w:t xml:space="preserve">means the Iowa energy center created within the economic development authority pursuant to Iowa Code section </w:t>
      </w:r>
      <w:hyperlink r:id="rId7">
        <w:r>
          <w:rPr>
            <w:rStyle w:val="Hyperlink"/>
            <w:rFonts w:ascii="Times New Roman" w:hAnsi="Times New Roman"/>
            <w:b w:val="false"/>
            <w:i w:val="false"/>
            <w:color w:val="000000"/>
            <w:sz w:val="22"/>
          </w:rPr>
          <w:t>15.120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“Loan” </w:t>
      </w:r>
      <w:r>
        <w:rPr>
          <w:rFonts w:ascii="Times New Roman" w:hAnsi="Times New Roman"/>
          <w:b w:val="false"/>
          <w:i w:val="false"/>
          <w:color w:val="000000"/>
          <w:sz w:val="22"/>
        </w:rPr>
        <w:t xml:space="preserve">means an award of assistance with the requirement that the award be repaid with term, interest rate, and other conditions specified as part of the conditions of the award.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“Loan committee” </w:t>
      </w:r>
      <w:r>
        <w:rPr>
          <w:rFonts w:ascii="Times New Roman" w:hAnsi="Times New Roman"/>
          <w:b w:val="false"/>
          <w:i w:val="false"/>
          <w:color w:val="000000"/>
          <w:sz w:val="22"/>
        </w:rPr>
        <w:t xml:space="preserve">means the committee of the board established to review loan applications pursuant to </w:t>
      </w:r>
      <w:hyperlink r:id="rId8">
        <w:r>
          <w:rPr>
            <w:rStyle w:val="Hyperlink"/>
            <w:rFonts w:ascii="Times New Roman" w:hAnsi="Times New Roman"/>
            <w:b w:val="false"/>
            <w:i w:val="false"/>
            <w:color w:val="000000"/>
            <w:sz w:val="22"/>
          </w:rPr>
          <w:t>261—paragraph 403.3(6)</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 xml:space="preserve">means the energy infrastructure revolving loan program administered pursuant to Iowa Code section 476.46A as enacted by </w:t>
      </w:r>
      <w:r>
        <w:rPr>
          <w:rFonts w:ascii="Times New Roman" w:hAnsi="Times New Roman"/>
          <w:b w:val="false"/>
          <w:i w:val="false"/>
          <w:color w:val="000000"/>
          <w:sz w:val="22"/>
        </w:rPr>
        <w:t>2021 Iowa Acts, Senate File 619</w:t>
      </w:r>
      <w:r>
        <w:rPr>
          <w:rFonts w:ascii="Times New Roman" w:hAnsi="Times New Roman"/>
          <w:b w:val="false"/>
          <w:i w:val="false"/>
          <w:color w:val="000000"/>
          <w:sz w:val="22"/>
        </w:rPr>
        <w:t xml:space="preserve">, section 33, and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an activity or set of activities directly related to energy infrastructure, and proposed in an application by a borrower, that will result in the accomplishment of the goals of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5994C</w:t>
      </w:r>
      <w:r>
        <w:rPr>
          <w:rFonts w:ascii="Times New Roman" w:hAnsi="Times New Roman"/>
          <w:b w:val="false"/>
          <w:i w:val="false"/>
          <w:color w:val="000000"/>
          <w:sz w:val="16"/>
        </w:rPr>
        <w:t>, IAB 10/20/21, effective 9/30/21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261—406.2</w:t>
      </w:r>
      <w:r>
        <w:rPr>
          <w:rFonts w:ascii="Times New Roman" w:hAnsi="Times New Roman"/>
          <w:b/>
          <w:i w:val="false"/>
          <w:color w:val="000000"/>
          <w:sz w:val="22"/>
        </w:rPr>
        <w:t xml:space="preserve">(15,476) </w:t>
      </w:r>
      <w:r>
        <w:rPr>
          <w:rFonts w:ascii="Times New Roman" w:hAnsi="Times New Roman"/>
          <w:b/>
          <w:i w:val="false"/>
          <w:color w:val="000000"/>
          <w:sz w:val="22"/>
        </w:rPr>
        <w:t xml:space="preserve">Policies and procedures handbook. </w:t>
      </w:r>
      <w:r>
        <w:rPr>
          <w:rFonts w:ascii="Times New Roman" w:hAnsi="Times New Roman"/>
          <w:b w:val="false"/>
          <w:i w:val="false"/>
          <w:color w:val="000000"/>
          <w:sz w:val="22"/>
        </w:rPr>
        <w:t xml:space="preserve">The authority will prepare a policies and procedures handbook for the program for approval by the board. The board will review the policies and procedures handbook at least once annually and will establish its priorities for program funds. The policies and procedures shall include the amount of program funds to be allocated for each application cycle, scoring criteria to be used if the demand for loans exceeds the amount allocated for any application cycle, and the applicable interest rate or rates for approved loans. The policies and procedures handbook may include additional limitations and expectations for specific eligible project types.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5994C</w:t>
      </w:r>
      <w:r>
        <w:rPr>
          <w:rFonts w:ascii="Times New Roman" w:hAnsi="Times New Roman"/>
          <w:b w:val="false"/>
          <w:i w:val="false"/>
          <w:color w:val="000000"/>
          <w:sz w:val="16"/>
        </w:rPr>
        <w:t>, IAB 10/20/21, effective 9/30/21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261—406.3</w:t>
      </w:r>
      <w:r>
        <w:rPr>
          <w:rFonts w:ascii="Times New Roman" w:hAnsi="Times New Roman"/>
          <w:b/>
          <w:i w:val="false"/>
          <w:color w:val="000000"/>
          <w:sz w:val="22"/>
        </w:rPr>
        <w:t xml:space="preserve">(15,476) </w:t>
      </w:r>
      <w:r>
        <w:rPr>
          <w:rFonts w:ascii="Times New Roman" w:hAnsi="Times New Roman"/>
          <w:b/>
          <w:i w:val="false"/>
          <w:color w:val="000000"/>
          <w:sz w:val="22"/>
        </w:rPr>
        <w:t xml:space="preserve">Loan amounts and terms.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406.3(1)</w:t>
      </w:r>
      <w:r>
        <w:rPr>
          <w:rFonts w:ascii="Times New Roman" w:hAnsi="Times New Roman"/>
          <w:b w:val="false"/>
          <w:i w:val="false"/>
          <w:color w:val="000000"/>
          <w:sz w:val="22"/>
        </w:rPr>
        <w:t> </w:t>
      </w:r>
      <w:r>
        <w:rPr>
          <w:rFonts w:ascii="Times New Roman" w:hAnsi="Times New Roman"/>
          <w:b w:val="false"/>
          <w:i w:val="false"/>
          <w:color w:val="000000"/>
          <w:sz w:val="22"/>
        </w:rPr>
        <w:t>The minimum loan amount is $50,000 per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shall not lend more than 75 percent of total project costs for any project type. For purposes of determining the amount the board may lend pursuant to this subrule, total project costs include eligible costs pursuant to </w:t>
      </w:r>
      <w:hyperlink r:id="rId9">
        <w:r>
          <w:rPr>
            <w:rStyle w:val="Hyperlink"/>
            <w:rFonts w:ascii="Times New Roman" w:hAnsi="Times New Roman"/>
            <w:b w:val="false"/>
            <w:i w:val="false"/>
            <w:color w:val="000000"/>
            <w:sz w:val="22"/>
          </w:rPr>
          <w:t>subrule 406.6(1)</w:t>
        </w:r>
      </w:hyperlink>
      <w:r>
        <w:rPr>
          <w:rFonts w:ascii="Times New Roman" w:hAnsi="Times New Roman"/>
          <w:b w:val="false"/>
          <w:i w:val="false"/>
          <w:color w:val="000000"/>
          <w:sz w:val="22"/>
        </w:rPr>
        <w:t xml:space="preserve"> as well as feasibility studies, engineering and final design, permitting and regulatory costs, or other costs determined by the board to be necessary to the development of energy infrastructure. The board may determine a higher percentage of funds that must be matched by the borrower that is applicable to specific project types as outlined in the policies and procedures approved pursuant to rule </w:t>
      </w:r>
      <w:hyperlink r:id="rId10">
        <w:r>
          <w:rPr>
            <w:rStyle w:val="Hyperlink"/>
            <w:rFonts w:ascii="Times New Roman" w:hAnsi="Times New Roman"/>
            <w:b w:val="false"/>
            <w:i w:val="false"/>
            <w:color w:val="000000"/>
            <w:sz w:val="22"/>
          </w:rPr>
          <w:t>261—406.2</w:t>
        </w:r>
      </w:hyperlink>
      <w:r>
        <w:rPr>
          <w:rFonts w:ascii="Times New Roman" w:hAnsi="Times New Roman"/>
          <w:b w:val="false"/>
          <w:i w:val="false"/>
          <w:color w:val="000000"/>
          <w:sz w:val="22"/>
        </w:rPr>
        <w:t xml:space="preserve">(15,476).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406.3(3)</w:t>
      </w:r>
      <w:r>
        <w:rPr>
          <w:rFonts w:ascii="Times New Roman" w:hAnsi="Times New Roman"/>
          <w:b w:val="false"/>
          <w:i w:val="false"/>
          <w:color w:val="000000"/>
          <w:sz w:val="22"/>
        </w:rPr>
        <w:t> </w:t>
      </w:r>
      <w:r>
        <w:rPr>
          <w:rFonts w:ascii="Times New Roman" w:hAnsi="Times New Roman"/>
          <w:b w:val="false"/>
          <w:i w:val="false"/>
          <w:color w:val="000000"/>
          <w:sz w:val="22"/>
        </w:rPr>
        <w:t>The board shall not issue a loan that exceeds the value of the collateral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406.3(4)</w:t>
      </w:r>
      <w:r>
        <w:rPr>
          <w:rFonts w:ascii="Times New Roman" w:hAnsi="Times New Roman"/>
          <w:b w:val="false"/>
          <w:i w:val="false"/>
          <w:color w:val="000000"/>
          <w:sz w:val="22"/>
        </w:rPr>
        <w:t> </w:t>
      </w:r>
      <w:r>
        <w:rPr>
          <w:rFonts w:ascii="Times New Roman" w:hAnsi="Times New Roman"/>
          <w:b w:val="false"/>
          <w:i w:val="false"/>
          <w:color w:val="000000"/>
          <w:sz w:val="22"/>
        </w:rPr>
        <w:t>The board will accept security for a loan. The following forms of collateral will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Dedicated certificate of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Irrevocable letter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Corporate guarantee.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Utility revenue or reserve funds,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forms of collateral if approved by the board, and only if the forms of collateral listed in paragraphs </w:t>
      </w:r>
      <w:hyperlink r:id="rId11">
        <w:r>
          <w:rPr>
            <w:rStyle w:val="Hyperlink"/>
            <w:rFonts w:ascii="Times New Roman" w:hAnsi="Times New Roman"/>
            <w:b w:val="false"/>
            <w:i w:val="false"/>
            <w:color w:val="000000"/>
            <w:sz w:val="22"/>
          </w:rPr>
          <w:t>406.3(4)</w:t>
        </w:r>
      </w:hyperlink>
      <w:r>
        <w:rPr>
          <w:rFonts w:ascii="Times New Roman" w:hAnsi="Times New Roman"/>
          <w:b w:val="false"/>
          <w:i/>
          <w:color w:val="000000"/>
          <w:sz w:val="22"/>
        </w:rPr>
        <w:t>“a”</w:t>
      </w:r>
      <w:r>
        <w:rPr>
          <w:rFonts w:ascii="Times New Roman" w:hAnsi="Times New Roman"/>
          <w:b w:val="false"/>
          <w:i w:val="false"/>
          <w:color w:val="000000"/>
          <w:sz w:val="22"/>
        </w:rPr>
        <w:t xml:space="preserve"> to </w:t>
      </w:r>
      <w:r>
        <w:rPr>
          <w:rFonts w:ascii="Times New Roman" w:hAnsi="Times New Roman"/>
          <w:b w:val="false"/>
          <w:i/>
          <w:color w:val="000000"/>
          <w:sz w:val="22"/>
        </w:rPr>
        <w:t>“e”</w:t>
      </w:r>
      <w:r>
        <w:rPr>
          <w:rFonts w:ascii="Times New Roman" w:hAnsi="Times New Roman"/>
          <w:b w:val="false"/>
          <w:i w:val="false"/>
          <w:color w:val="000000"/>
          <w:sz w:val="22"/>
        </w:rPr>
        <w:t xml:space="preserve"> are inadequate.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406.3(5)</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consider the borrower’s credit rating in determining what form of collateral is acceptable.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406.3(6)</w:t>
      </w:r>
      <w:r>
        <w:rPr>
          <w:rFonts w:ascii="Times New Roman" w:hAnsi="Times New Roman"/>
          <w:b w:val="false"/>
          <w:i w:val="false"/>
          <w:color w:val="000000"/>
          <w:sz w:val="22"/>
        </w:rPr>
        <w:t> </w:t>
      </w:r>
      <w:r>
        <w:rPr>
          <w:rFonts w:ascii="Times New Roman" w:hAnsi="Times New Roman"/>
          <w:b w:val="false"/>
          <w:i w:val="false"/>
          <w:color w:val="000000"/>
          <w:sz w:val="22"/>
        </w:rPr>
        <w:t>The duration of the loan shall not be more than 15 years. If applicable, the board may consider the projected payback date of the project in determining the duration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406.3(7)</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interest rate shall not exceed the Wall Street Journal prime rate as of the date of approval.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5994C</w:t>
      </w:r>
      <w:r>
        <w:rPr>
          <w:rFonts w:ascii="Times New Roman" w:hAnsi="Times New Roman"/>
          <w:b w:val="false"/>
          <w:i w:val="false"/>
          <w:color w:val="000000"/>
          <w:sz w:val="16"/>
        </w:rPr>
        <w:t>, IAB 10/20/21, effective 9/30/21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261—406.4</w:t>
      </w:r>
      <w:r>
        <w:rPr>
          <w:rFonts w:ascii="Times New Roman" w:hAnsi="Times New Roman"/>
          <w:b/>
          <w:i w:val="false"/>
          <w:color w:val="000000"/>
          <w:sz w:val="22"/>
        </w:rPr>
        <w:t xml:space="preserve">(15,476) </w:t>
      </w:r>
      <w:r>
        <w:rPr>
          <w:rFonts w:ascii="Times New Roman" w:hAnsi="Times New Roman"/>
          <w:b/>
          <w:i w:val="false"/>
          <w:color w:val="000000"/>
          <w:sz w:val="22"/>
        </w:rPr>
        <w:t xml:space="preserve">Eligible and ineligible borrowers.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406.4(1)</w:t>
      </w:r>
      <w:r>
        <w:rPr>
          <w:rFonts w:ascii="Times New Roman" w:hAnsi="Times New Roman"/>
          <w:b w:val="false"/>
          <w:i w:val="false"/>
          <w:color w:val="000000"/>
          <w:sz w:val="22"/>
        </w:rPr>
        <w:t> </w:t>
      </w:r>
      <w:r>
        <w:rPr>
          <w:rFonts w:ascii="Times New Roman" w:hAnsi="Times New Roman"/>
          <w:b w:val="false"/>
          <w:i/>
          <w:color w:val="000000"/>
          <w:sz w:val="22"/>
        </w:rPr>
        <w:t xml:space="preserve">Eligible borrowers. </w:t>
      </w:r>
      <w:r>
        <w:rPr>
          <w:rFonts w:ascii="Times New Roman" w:hAnsi="Times New Roman"/>
          <w:b w:val="false"/>
          <w:i w:val="false"/>
          <w:color w:val="000000"/>
          <w:sz w:val="22"/>
        </w:rPr>
        <w:t>Eligible borrowers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Businesses incorporated or organized in Iowa or authorized to do business in Iowa, including businesses operated as sole proprietorships with a registered trade name;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Rural electric cooperatives;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Municipal utilities.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406.4(2)</w:t>
      </w:r>
      <w:r>
        <w:rPr>
          <w:rFonts w:ascii="Times New Roman" w:hAnsi="Times New Roman"/>
          <w:b w:val="false"/>
          <w:i w:val="false"/>
          <w:color w:val="000000"/>
          <w:sz w:val="22"/>
        </w:rPr>
        <w:t> </w:t>
      </w:r>
      <w:r>
        <w:rPr>
          <w:rFonts w:ascii="Times New Roman" w:hAnsi="Times New Roman"/>
          <w:b w:val="false"/>
          <w:i/>
          <w:color w:val="000000"/>
          <w:sz w:val="22"/>
        </w:rPr>
        <w:t xml:space="preserve">Ineligible borrowers. </w:t>
      </w:r>
      <w:r>
        <w:rPr>
          <w:rFonts w:ascii="Times New Roman" w:hAnsi="Times New Roman"/>
          <w:b w:val="false"/>
          <w:i w:val="false"/>
          <w:color w:val="000000"/>
          <w:sz w:val="22"/>
        </w:rPr>
        <w:t>Ineligible borrowers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that is not located in or operating in Iowa. A business that will be located and operating in Iowa upon completion of an eligible project may be eligible.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individual or an organization with a history of defaulted loans or compliance violations with other state programs or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Regents institutions.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Community colleges.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Cities, except municipal utilities that are eligible borrowers pursuant to </w:t>
      </w:r>
      <w:hyperlink r:id="rId12">
        <w:r>
          <w:rPr>
            <w:rStyle w:val="Hyperlink"/>
            <w:rFonts w:ascii="Times New Roman" w:hAnsi="Times New Roman"/>
            <w:b w:val="false"/>
            <w:i w:val="false"/>
            <w:color w:val="000000"/>
            <w:sz w:val="22"/>
          </w:rPr>
          <w:t>paragraph 406.4(1)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School districts.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Nonprofit organizations.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5994C</w:t>
      </w:r>
      <w:r>
        <w:rPr>
          <w:rFonts w:ascii="Times New Roman" w:hAnsi="Times New Roman"/>
          <w:b w:val="false"/>
          <w:i w:val="false"/>
          <w:color w:val="000000"/>
          <w:sz w:val="16"/>
        </w:rPr>
        <w:t>, IAB 10/20/21, effective 9/30/21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261—406.5</w:t>
      </w:r>
      <w:r>
        <w:rPr>
          <w:rFonts w:ascii="Times New Roman" w:hAnsi="Times New Roman"/>
          <w:b/>
          <w:i w:val="false"/>
          <w:color w:val="000000"/>
          <w:sz w:val="22"/>
        </w:rPr>
        <w:t xml:space="preserve">(15,476) </w:t>
      </w:r>
      <w:r>
        <w:rPr>
          <w:rFonts w:ascii="Times New Roman" w:hAnsi="Times New Roman"/>
          <w:b/>
          <w:i w:val="false"/>
          <w:color w:val="000000"/>
          <w:sz w:val="22"/>
        </w:rPr>
        <w:t xml:space="preserve">Eligible and ineligible projects.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406.5(1)</w:t>
      </w:r>
      <w:r>
        <w:rPr>
          <w:rFonts w:ascii="Times New Roman" w:hAnsi="Times New Roman"/>
          <w:b w:val="false"/>
          <w:i w:val="false"/>
          <w:color w:val="000000"/>
          <w:sz w:val="22"/>
        </w:rPr>
        <w:t> </w:t>
      </w:r>
      <w:r>
        <w:rPr>
          <w:rFonts w:ascii="Times New Roman" w:hAnsi="Times New Roman"/>
          <w:b w:val="false"/>
          <w:i w:val="false"/>
          <w:color w:val="000000"/>
          <w:sz w:val="22"/>
        </w:rPr>
        <w:t>A proposed project must meet the following criteria to be eligible for a loan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project shall be located in Iowa or be for the primary use or benefit of Iowans. If any portion of the project is located outside of Iowa, the applicant bears the burden of demonstrating that the project as a whole will be for the primary use or benefit of Iowans.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project shall develop energy infrastructure as defined in Iowa Code section 476.46A(3)</w:t>
      </w:r>
      <w:r>
        <w:rPr>
          <w:rFonts w:ascii="Times New Roman" w:hAnsi="Times New Roman"/>
          <w:b w:val="false"/>
          <w:i/>
          <w:color w:val="000000"/>
          <w:sz w:val="22"/>
        </w:rPr>
        <w:t>“a”</w:t>
      </w:r>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2021 Iowa Acts, Senate File 619</w:t>
      </w:r>
      <w:r>
        <w:rPr>
          <w:rFonts w:ascii="Times New Roman" w:hAnsi="Times New Roman"/>
          <w:b w:val="false"/>
          <w:i w:val="false"/>
          <w:color w:val="000000"/>
          <w:sz w:val="22"/>
        </w:rPr>
        <w:t>, section 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borrower shall be the owner, contract purchaser, lessee, or other interest holder of the real property where the project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406.5(2)</w:t>
      </w:r>
      <w:r>
        <w:rPr>
          <w:rFonts w:ascii="Times New Roman" w:hAnsi="Times New Roman"/>
          <w:b w:val="false"/>
          <w:i w:val="false"/>
          <w:color w:val="000000"/>
          <w:sz w:val="22"/>
        </w:rPr>
        <w:t> </w:t>
      </w:r>
      <w:r>
        <w:rPr>
          <w:rFonts w:ascii="Times New Roman" w:hAnsi="Times New Roman"/>
          <w:b w:val="false"/>
          <w:i w:val="false"/>
          <w:color w:val="000000"/>
          <w:sz w:val="22"/>
        </w:rPr>
        <w:t xml:space="preserve">A project that generates energy for use only at a borrower’s personal residence is not an eligible project.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5994C</w:t>
      </w:r>
      <w:r>
        <w:rPr>
          <w:rFonts w:ascii="Times New Roman" w:hAnsi="Times New Roman"/>
          <w:b w:val="false"/>
          <w:i w:val="false"/>
          <w:color w:val="000000"/>
          <w:sz w:val="16"/>
        </w:rPr>
        <w:t>, IAB 10/20/21, effective 9/30/21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261—406.6</w:t>
      </w:r>
      <w:r>
        <w:rPr>
          <w:rFonts w:ascii="Times New Roman" w:hAnsi="Times New Roman"/>
          <w:b/>
          <w:i w:val="false"/>
          <w:color w:val="000000"/>
          <w:sz w:val="22"/>
        </w:rPr>
        <w:t xml:space="preserve">(15,476) </w:t>
      </w:r>
      <w:r>
        <w:rPr>
          <w:rFonts w:ascii="Times New Roman" w:hAnsi="Times New Roman"/>
          <w:b/>
          <w:i w:val="false"/>
          <w:color w:val="000000"/>
          <w:sz w:val="22"/>
        </w:rPr>
        <w:t xml:space="preserve">Eligible and ineligible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406.6(1)</w:t>
      </w:r>
      <w:r>
        <w:rPr>
          <w:rFonts w:ascii="Times New Roman" w:hAnsi="Times New Roman"/>
          <w:b w:val="false"/>
          <w:i w:val="false"/>
          <w:color w:val="000000"/>
          <w:sz w:val="22"/>
        </w:rPr>
        <w:t> </w:t>
      </w:r>
      <w:r>
        <w:rPr>
          <w:rFonts w:ascii="Times New Roman" w:hAnsi="Times New Roman"/>
          <w:b w:val="false"/>
          <w:i/>
          <w:color w:val="000000"/>
          <w:sz w:val="22"/>
        </w:rPr>
        <w:t xml:space="preserve">Eligible costs. </w:t>
      </w:r>
      <w:r>
        <w:rPr>
          <w:rFonts w:ascii="Times New Roman" w:hAnsi="Times New Roman"/>
          <w:b w:val="false"/>
          <w:i w:val="false"/>
          <w:color w:val="000000"/>
          <w:sz w:val="22"/>
        </w:rPr>
        <w:t>Examples of project costs that are eligible for financial assistance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Real and personal property comprising a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Materials and equipment required for necessary site preparation, construction and installation of a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Labor for site preparation, construction and installation of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Costs associated with maintenance, operation or repair of a project during the term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406.6(2)</w:t>
      </w:r>
      <w:r>
        <w:rPr>
          <w:rFonts w:ascii="Times New Roman" w:hAnsi="Times New Roman"/>
          <w:b w:val="false"/>
          <w:i w:val="false"/>
          <w:color w:val="000000"/>
          <w:sz w:val="22"/>
        </w:rPr>
        <w:t> </w:t>
      </w:r>
      <w:r>
        <w:rPr>
          <w:rFonts w:ascii="Times New Roman" w:hAnsi="Times New Roman"/>
          <w:b w:val="false"/>
          <w:i/>
          <w:color w:val="000000"/>
          <w:sz w:val="22"/>
        </w:rPr>
        <w:t xml:space="preserve">Ineligible costs. </w:t>
      </w:r>
      <w:r>
        <w:rPr>
          <w:rFonts w:ascii="Times New Roman" w:hAnsi="Times New Roman"/>
          <w:b w:val="false"/>
          <w:i w:val="false"/>
          <w:color w:val="000000"/>
          <w:sz w:val="22"/>
        </w:rPr>
        <w:t>Examples of project costs that are not eligible for financial assistance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Administrative costs or employee salaries of the borrower or any affiliates that are not associated with site preparation, construction and installation of a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incurred prior to the committee’s recommendation to approve a loan. Costs incurred prior to the committee’s recommendation may be eligible for assistance if the borrower demonstrates the necessity to begin incurring costs sooner.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Feasibility studies.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Engineering and final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Permitting or regulatory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costs that the board determines to be ineligible.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5994C</w:t>
      </w:r>
      <w:r>
        <w:rPr>
          <w:rFonts w:ascii="Times New Roman" w:hAnsi="Times New Roman"/>
          <w:b w:val="false"/>
          <w:i w:val="false"/>
          <w:color w:val="000000"/>
          <w:sz w:val="16"/>
        </w:rPr>
        <w:t>, IAB 10/20/21, effective 9/30/21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261—406.7</w:t>
      </w:r>
      <w:r>
        <w:rPr>
          <w:rFonts w:ascii="Times New Roman" w:hAnsi="Times New Roman"/>
          <w:b/>
          <w:i w:val="false"/>
          <w:color w:val="000000"/>
          <w:sz w:val="22"/>
        </w:rPr>
        <w:t xml:space="preserve">(15,476)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forms shall be available at </w:t>
      </w:r>
      <w:hyperlink r:id="rId13">
        <w:r>
          <w:rPr>
            <w:rStyle w:val="Hyperlink"/>
            <w:rFonts w:ascii="Times New Roman" w:hAnsi="Times New Roman"/>
            <w:b w:val="false"/>
            <w:i w:val="false"/>
            <w:color w:val="000000"/>
            <w:sz w:val="22"/>
            <w:u w:val="single"/>
          </w:rPr>
          <w:t>iowagrants.gov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will be accepted only during the established application periods identified by the authority on its Internet site at </w:t>
      </w:r>
      <w:hyperlink r:id="rId14">
        <w:r>
          <w:rPr>
            <w:rStyle w:val="Hyperlink"/>
            <w:rFonts w:ascii="Times New Roman" w:hAnsi="Times New Roman"/>
            <w:b w:val="false"/>
            <w:i w:val="false"/>
            <w:color w:val="000000"/>
            <w:sz w:val="22"/>
            <w:u w:val="single"/>
          </w:rPr>
          <w:t>www.iowaeda.com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406.7(3)</w:t>
      </w:r>
      <w:r>
        <w:rPr>
          <w:rFonts w:ascii="Times New Roman" w:hAnsi="Times New Roman"/>
          <w:b w:val="false"/>
          <w:i w:val="false"/>
          <w:color w:val="000000"/>
          <w:sz w:val="22"/>
        </w:rPr>
        <w:t> </w:t>
      </w:r>
      <w:r>
        <w:rPr>
          <w:rFonts w:ascii="Times New Roman" w:hAnsi="Times New Roman"/>
          <w:b w:val="false"/>
          <w:i w:val="false"/>
          <w:color w:val="000000"/>
          <w:sz w:val="22"/>
        </w:rPr>
        <w:t>Authority staff will review applications for completeness, eligibility, and whether the proposed project meets the financial and technical requirements of the Iowa energy center. The authority or board may engage outside reviewers to complete technical, financial, or other reviews of applications beyond the expertise of the board and authority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406.7(4)</w:t>
      </w:r>
      <w:r>
        <w:rPr>
          <w:rFonts w:ascii="Times New Roman" w:hAnsi="Times New Roman"/>
          <w:b w:val="false"/>
          <w:i w:val="false"/>
          <w:color w:val="000000"/>
          <w:sz w:val="22"/>
        </w:rPr>
        <w:t> </w:t>
      </w:r>
      <w:r>
        <w:rPr>
          <w:rFonts w:ascii="Times New Roman" w:hAnsi="Times New Roman"/>
          <w:b w:val="false"/>
          <w:i w:val="false"/>
          <w:color w:val="000000"/>
          <w:sz w:val="22"/>
        </w:rPr>
        <w:t>Authority staff will recommend applications to the loan committee established by the board. The Iowa energy center may request additional information from applicants to process each loan application. The loan committee will review the applications and staff recommendations and then make recommendations to the board. The board will approve, defer, or deny applications for loans. Authority staff may negotiate the amount, terms, and other conditions of each loan before an award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406.7(5)</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will accept loan applications on a rolling basis. The board will make funding decisions at least once each quarter.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5994C</w:t>
      </w:r>
      <w:r>
        <w:rPr>
          <w:rFonts w:ascii="Times New Roman" w:hAnsi="Times New Roman"/>
          <w:b w:val="false"/>
          <w:i w:val="false"/>
          <w:color w:val="000000"/>
          <w:sz w:val="16"/>
        </w:rPr>
        <w:t>, IAB 10/20/21, effective 9/30/21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261—406.8</w:t>
      </w:r>
      <w:r>
        <w:rPr>
          <w:rFonts w:ascii="Times New Roman" w:hAnsi="Times New Roman"/>
          <w:b/>
          <w:i w:val="false"/>
          <w:color w:val="000000"/>
          <w:sz w:val="22"/>
        </w:rPr>
        <w:t xml:space="preserve">(15,476)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406.8(1)</w:t>
      </w:r>
      <w:r>
        <w:rPr>
          <w:rFonts w:ascii="Times New Roman" w:hAnsi="Times New Roman"/>
          <w:b w:val="false"/>
          <w:i w:val="false"/>
          <w:color w:val="000000"/>
          <w:sz w:val="22"/>
        </w:rPr>
        <w:t> </w:t>
      </w:r>
      <w:r>
        <w:rPr>
          <w:rFonts w:ascii="Times New Roman" w:hAnsi="Times New Roman"/>
          <w:b w:val="false"/>
          <w:i/>
          <w:color w:val="000000"/>
          <w:sz w:val="22"/>
        </w:rPr>
        <w:t xml:space="preserve">Notice of approval or denial. </w:t>
      </w:r>
      <w:r>
        <w:rPr>
          <w:rFonts w:ascii="Times New Roman" w:hAnsi="Times New Roman"/>
          <w:b w:val="false"/>
          <w:i w:val="false"/>
          <w:color w:val="000000"/>
          <w:sz w:val="22"/>
        </w:rPr>
        <w:t>The authority will notify applicants in writing of the board’s approval or denial of an application. If the application is approved, the notice will include any conditions and terms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406.8(2)</w:t>
      </w:r>
      <w:r>
        <w:rPr>
          <w:rFonts w:ascii="Times New Roman" w:hAnsi="Times New Roman"/>
          <w:b w:val="false"/>
          <w:i w:val="false"/>
          <w:color w:val="000000"/>
          <w:sz w:val="22"/>
        </w:rPr>
        <w:t> </w:t>
      </w:r>
      <w:r>
        <w:rPr>
          <w:rFonts w:ascii="Times New Roman" w:hAnsi="Times New Roman"/>
          <w:b w:val="false"/>
          <w:i/>
          <w:color w:val="000000"/>
          <w:sz w:val="22"/>
        </w:rPr>
        <w:t xml:space="preserve">Contract. </w:t>
      </w:r>
      <w:r>
        <w:rPr>
          <w:rFonts w:ascii="Times New Roman" w:hAnsi="Times New Roman"/>
          <w:b w:val="false"/>
          <w:i w:val="false"/>
          <w:color w:val="000000"/>
          <w:sz w:val="22"/>
        </w:rPr>
        <w:t>After notifying the borrower of an award, the authority will offer a contract to the borrower. The contract shall be between the Iowa energy center and the borrower. An award shall not constitute a binding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406.8(3)</w:t>
      </w:r>
      <w:r>
        <w:rPr>
          <w:rFonts w:ascii="Times New Roman" w:hAnsi="Times New Roman"/>
          <w:b w:val="false"/>
          <w:i w:val="false"/>
          <w:color w:val="000000"/>
          <w:sz w:val="22"/>
        </w:rPr>
        <w:t> </w:t>
      </w:r>
      <w:r>
        <w:rPr>
          <w:rFonts w:ascii="Times New Roman" w:hAnsi="Times New Roman"/>
          <w:b w:val="false"/>
          <w:i/>
          <w:color w:val="000000"/>
          <w:sz w:val="22"/>
        </w:rPr>
        <w:t xml:space="preserve">Transmittal. </w:t>
      </w:r>
      <w:r>
        <w:rPr>
          <w:rFonts w:ascii="Times New Roman" w:hAnsi="Times New Roman"/>
          <w:b w:val="false"/>
          <w:i w:val="false"/>
          <w:color w:val="000000"/>
          <w:sz w:val="22"/>
        </w:rPr>
        <w:t>The borrower must execute and return the contract to the authority within 90 days of the transmittal of the final contract from the authority. Failure to do so may be cause for the board to terminate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406.8(4)</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r>
        <w:rPr>
          <w:rFonts w:ascii="Times New Roman" w:hAnsi="Times New Roman"/>
          <w:b w:val="false"/>
          <w:i w:val="false"/>
          <w:color w:val="000000"/>
          <w:sz w:val="22"/>
        </w:rPr>
        <w:t>Borrowers shall submit requests for disbursement of funds on the forms provided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406.8(5)</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 xml:space="preserve">Any substantive change to the scope of work for a project or request to renegotiate loan terms shall require an amendment to the contract. The board may consider requests for loan forgiveness if the borrower demonstrates forgiveness is necessary to avoid a negative material impact on the project or potential default. The borrower shall request amendments in writing. No amendment shall be valid until approved by the board. The authority may execute nonsubstantive or ministerial changes to the contract without board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406.8(6)</w:t>
      </w:r>
      <w:r>
        <w:rPr>
          <w:rFonts w:ascii="Times New Roman" w:hAnsi="Times New Roman"/>
          <w:b w:val="false"/>
          <w:i w:val="false"/>
          <w:color w:val="000000"/>
          <w:sz w:val="22"/>
        </w:rPr>
        <w:t> </w:t>
      </w:r>
      <w:r>
        <w:rPr>
          <w:rFonts w:ascii="Times New Roman" w:hAnsi="Times New Roman"/>
          <w:b w:val="false"/>
          <w:i/>
          <w:color w:val="000000"/>
          <w:sz w:val="22"/>
        </w:rPr>
        <w:t xml:space="preserve">Closeout. </w:t>
      </w:r>
      <w:r>
        <w:rPr>
          <w:rFonts w:ascii="Times New Roman" w:hAnsi="Times New Roman"/>
          <w:b w:val="false"/>
          <w:i w:val="false"/>
          <w:color w:val="000000"/>
          <w:sz w:val="22"/>
        </w:rPr>
        <w:t>Upon contract expiration or project completion, the authority shall initiate project closeout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406.8(7)</w:t>
      </w:r>
      <w:r>
        <w:rPr>
          <w:rFonts w:ascii="Times New Roman" w:hAnsi="Times New Roman"/>
          <w:b w:val="false"/>
          <w:i w:val="false"/>
          <w:color w:val="000000"/>
          <w:sz w:val="22"/>
        </w:rPr>
        <w:t> </w:t>
      </w:r>
      <w:r>
        <w:rPr>
          <w:rFonts w:ascii="Times New Roman" w:hAnsi="Times New Roman"/>
          <w:b w:val="false"/>
          <w:i/>
          <w:color w:val="000000"/>
          <w:sz w:val="22"/>
        </w:rPr>
        <w:t xml:space="preserve">Record keeping and retention. </w:t>
      </w:r>
      <w:r>
        <w:rPr>
          <w:rFonts w:ascii="Times New Roman" w:hAnsi="Times New Roman"/>
          <w:b w:val="false"/>
          <w:i w:val="false"/>
          <w:color w:val="000000"/>
          <w:sz w:val="22"/>
        </w:rPr>
        <w:t>Borrowers shall retain all financial records, supporting documents and all other records pertinent to the loan for three years after the contract is closed or the loan is put in default and is not cured.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406.8(8)</w:t>
      </w:r>
      <w:r>
        <w:rPr>
          <w:rFonts w:ascii="Times New Roman" w:hAnsi="Times New Roman"/>
          <w:b w:val="false"/>
          <w:i w:val="false"/>
          <w:color w:val="000000"/>
          <w:sz w:val="22"/>
        </w:rPr>
        <w:t> </w:t>
      </w:r>
      <w:r>
        <w:rPr>
          <w:rFonts w:ascii="Times New Roman" w:hAnsi="Times New Roman"/>
          <w:b w:val="false"/>
          <w:i/>
          <w:color w:val="000000"/>
          <w:sz w:val="22"/>
        </w:rPr>
        <w:t xml:space="preserve">Reporting and compliance. </w:t>
      </w:r>
      <w:r>
        <w:rPr>
          <w:rFonts w:ascii="Times New Roman" w:hAnsi="Times New Roman"/>
          <w:b w:val="false"/>
          <w:i w:val="false"/>
          <w:color w:val="000000"/>
          <w:sz w:val="22"/>
        </w:rPr>
        <w:t xml:space="preserve">The borrower shall complete all reports required by the contract executed pursuant to </w:t>
      </w:r>
      <w:hyperlink r:id="rId15">
        <w:r>
          <w:rPr>
            <w:rStyle w:val="Hyperlink"/>
            <w:rFonts w:ascii="Times New Roman" w:hAnsi="Times New Roman"/>
            <w:b w:val="false"/>
            <w:i w:val="false"/>
            <w:color w:val="000000"/>
            <w:sz w:val="22"/>
          </w:rPr>
          <w:t>subrule 406.8(2)</w:t>
        </w:r>
      </w:hyperlink>
      <w:r>
        <w:rPr>
          <w:rFonts w:ascii="Times New Roman" w:hAnsi="Times New Roman"/>
          <w:b w:val="false"/>
          <w:i w:val="false"/>
          <w:color w:val="000000"/>
          <w:sz w:val="22"/>
        </w:rPr>
        <w:t xml:space="preserve">. The authority reserves the right to conduct site visits of all awarded projects to ensure the projects were built as proposed and to provide verification of ongoing operation. The authority will monitor all loans to ensure that loan proceeds have been spent as identified in the contract and that all other sources of financing have been committed to the project.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406.8(9)</w:t>
      </w:r>
      <w:r>
        <w:rPr>
          <w:rFonts w:ascii="Times New Roman" w:hAnsi="Times New Roman"/>
          <w:b w:val="false"/>
          <w:i w:val="false"/>
          <w:color w:val="000000"/>
          <w:sz w:val="22"/>
        </w:rPr>
        <w:t> </w:t>
      </w:r>
      <w:r>
        <w:rPr>
          <w:rFonts w:ascii="Times New Roman" w:hAnsi="Times New Roman"/>
          <w:b w:val="false"/>
          <w:i/>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any time during the project or the repayment of the loan, the authority may find that a borrower is in default under the terms of the loan contract. The authority will take prompt, appropriate, and aggressive debt collection action to recover any funds misspent by borrowers.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authority determines that a borrower is in default, the authority may seek recovery of the loan plus interest or other penalties, negotiate alternative payment schedules, suspend or discontinue collection efforts and take other action as the authority deems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authority shall attempt to collect the amount owed. Any negotiated settlement, write-off, or discontinuance of collection efforts is subject to final review by and approval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authority refers a defaulted contract to outside counsel for debt collection, then the terms of the contract between the authority and the outside counsel regarding the scope of counsel’s authorization to accept settlements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5994C</w:t>
      </w:r>
      <w:r>
        <w:rPr>
          <w:rFonts w:ascii="Times New Roman" w:hAnsi="Times New Roman"/>
          <w:b w:val="false"/>
          <w:i w:val="false"/>
          <w:color w:val="000000"/>
          <w:sz w:val="16"/>
        </w:rPr>
        <w:t>, IAB 10/20/21, effective 9/30/21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6">
        <w:r>
          <w:rPr>
            <w:rStyle w:val="Hyperlink"/>
            <w:rFonts w:ascii="Times New Roman" w:hAnsi="Times New Roman"/>
            <w:b w:val="false"/>
            <w:i w:val="false"/>
            <w:color w:val="000000"/>
            <w:sz w:val="22"/>
          </w:rPr>
          <w:t>15.120</w:t>
        </w:r>
      </w:hyperlink>
      <w:r>
        <w:rPr>
          <w:rFonts w:ascii="Times New Roman" w:hAnsi="Times New Roman"/>
          <w:b w:val="false"/>
          <w:i w:val="false"/>
          <w:color w:val="000000"/>
          <w:sz w:val="22"/>
        </w:rPr>
        <w:t xml:space="preserve"> and section 476.46A as enacted by </w:t>
      </w:r>
      <w:r>
        <w:rPr>
          <w:rFonts w:ascii="Times New Roman" w:hAnsi="Times New Roman"/>
          <w:b w:val="false"/>
          <w:i w:val="false"/>
          <w:color w:val="000000"/>
          <w:sz w:val="22"/>
        </w:rPr>
        <w:t>2021 Iowa Acts, Senate File 619</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5994C</w:t>
      </w:r>
      <w:r>
        <w:rPr>
          <w:rFonts w:ascii="Times New Roman" w:hAnsi="Times New Roman"/>
          <w:b w:val="false"/>
          <w:i w:val="false"/>
          <w:color w:val="000000"/>
          <w:sz w:val="21"/>
        </w:rPr>
        <w:t xml:space="preserve"> (Notice ARC 5878C, IAB 8/25/21)</w:t>
      </w:r>
      <w:r>
        <w:rPr>
          <w:rFonts w:ascii="Times New Roman" w:hAnsi="Times New Roman"/>
          <w:b w:val="false"/>
          <w:i w:val="false"/>
          <w:color w:val="000000"/>
          <w:sz w:val="21"/>
        </w:rPr>
        <w:t>, IAB 10/20/21, effective 9/30/21]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15.120.pdf" Type="http://schemas.openxmlformats.org/officeDocument/2006/relationships/hyperlink" Id="rId6"/>
    <Relationship TargetMode="External" Target="https://www.legis.iowa.gov/docs/ico/chapter/15.120.pdf" Type="http://schemas.openxmlformats.org/officeDocument/2006/relationships/hyperlink" Id="rId7"/>
    <Relationship TargetMode="External" Target="https://www.legis.iowa.gov/docs/iac/rule/261.403.3.pdf" Type="http://schemas.openxmlformats.org/officeDocument/2006/relationships/hyperlink" Id="rId8"/>
    <Relationship TargetMode="External" Target="https://www.legis.iowa.gov/docs/iac/rule/261.406.6.pdf" Type="http://schemas.openxmlformats.org/officeDocument/2006/relationships/hyperlink" Id="rId9"/>
    <Relationship TargetMode="External" Target="https://www.legis.iowa.gov/docs/iac/rule/261.406.2.pdf" Type="http://schemas.openxmlformats.org/officeDocument/2006/relationships/hyperlink" Id="rId10"/>
    <Relationship TargetMode="External" Target="https://www.legis.iowa.gov/docs/iac/rule/261.406.3.pdf" Type="http://schemas.openxmlformats.org/officeDocument/2006/relationships/hyperlink" Id="rId11"/>
    <Relationship TargetMode="External" Target="https://www.legis.iowa.gov/docs/iac/rule/261.406.4.pdf" Type="http://schemas.openxmlformats.org/officeDocument/2006/relationships/hyperlink" Id="rId12"/>
    <Relationship TargetMode="External" Target="http://iowagrants.gov" Type="http://schemas.openxmlformats.org/officeDocument/2006/relationships/hyperlink" Id="rId13"/>
    <Relationship TargetMode="External" Target="http://www.iowaeda.com" Type="http://schemas.openxmlformats.org/officeDocument/2006/relationships/hyperlink" Id="rId14"/>
    <Relationship TargetMode="External" Target="https://www.legis.iowa.gov/docs/iac/rule/261.406.8.pdf" Type="http://schemas.openxmlformats.org/officeDocument/2006/relationships/hyperlink" Id="rId15"/>
    <Relationship TargetMode="External" Target="https://www.legis.iowa.gov/docs/ico/chapter/15.120.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