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405</w:t>
      </w:r>
    </w:p>
    <w:p>
      <w:pPr>
        <w:spacing w:before="0" w:after="0"/>
        <w:ind w:left="120"/>
        <w:jc w:val="center"/>
      </w:pPr>
      <w:r>
        <w:rPr>
          <w:rFonts w:ascii="Times New Roman" w:hAnsi="Times New Roman"/>
          <w:b w:val="false"/>
          <w:i w:val="false"/>
          <w:color w:val="000000"/>
          <w:sz w:val="21"/>
        </w:rPr>
        <w:t>ALTERNATE ENERGY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261—405.1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governing board of the Iowa energy center established pursuant to Iowa Code section </w:t>
      </w:r>
      <w:hyperlink r:id="rId6">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energy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“IEC” </w:t>
      </w:r>
      <w:r>
        <w:rPr>
          <w:rFonts w:ascii="Times New Roman" w:hAnsi="Times New Roman"/>
          <w:b w:val="false"/>
          <w:i w:val="false"/>
          <w:color w:val="000000"/>
          <w:sz w:val="22"/>
        </w:rPr>
        <w:t xml:space="preserve">means the Iowa energy center created within the economic development authority pursuant to Iowa Code section </w:t>
      </w:r>
      <w:hyperlink r:id="rId7">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an alternate energy production facility as defined in Iowa Code section </w:t>
      </w:r>
      <w:hyperlink r:id="rId8">
        <w:r>
          <w:rPr>
            <w:rStyle w:val="Hyperlink"/>
            <w:rFonts w:ascii="Times New Roman" w:hAnsi="Times New Roman"/>
            <w:b w:val="false"/>
            <w:i w:val="false"/>
            <w:color w:val="000000"/>
            <w:sz w:val="22"/>
          </w:rPr>
          <w:t>476.42</w:t>
        </w:r>
      </w:hyperlink>
      <w:r>
        <w:rPr>
          <w:rFonts w:ascii="Times New Roman" w:hAnsi="Times New Roman"/>
          <w:b w:val="false"/>
          <w:i w:val="false"/>
          <w:color w:val="000000"/>
          <w:sz w:val="22"/>
        </w:rPr>
        <w:t xml:space="preserve"> or a small hydro facility as defined in Iowa Code section </w:t>
      </w:r>
      <w:hyperlink r:id="rId9">
        <w:r>
          <w:rPr>
            <w:rStyle w:val="Hyperlink"/>
            <w:rFonts w:ascii="Times New Roman" w:hAnsi="Times New Roman"/>
            <w:b w:val="false"/>
            <w:i w:val="false"/>
            <w:color w:val="000000"/>
            <w:sz w:val="22"/>
          </w:rPr>
          <w:t>476.42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4263C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261—405.2</w:t>
      </w:r>
      <w:r>
        <w:rPr>
          <w:rFonts w:ascii="Times New Roman" w:hAnsi="Times New Roman"/>
          <w:b/>
          <w:i w:val="false"/>
          <w:color w:val="000000"/>
          <w:sz w:val="22"/>
        </w:rPr>
        <w:t xml:space="preserve">(15) </w:t>
      </w:r>
      <w:r>
        <w:rPr>
          <w:rFonts w:ascii="Times New Roman" w:hAnsi="Times New Roman"/>
          <w:b/>
          <w:i w:val="false"/>
          <w:color w:val="000000"/>
          <w:sz w:val="22"/>
        </w:rPr>
        <w:t xml:space="preserve">Loan amounts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405.2(1)</w:t>
      </w:r>
      <w:r>
        <w:rPr>
          <w:rFonts w:ascii="Times New Roman" w:hAnsi="Times New Roman"/>
          <w:b w:val="false"/>
          <w:i w:val="false"/>
          <w:color w:val="000000"/>
          <w:sz w:val="22"/>
        </w:rPr>
        <w:t> </w:t>
      </w:r>
      <w:r>
        <w:rPr>
          <w:rFonts w:ascii="Times New Roman" w:hAnsi="Times New Roman"/>
          <w:b w:val="false"/>
          <w:i w:val="false"/>
          <w:color w:val="000000"/>
          <w:sz w:val="22"/>
        </w:rPr>
        <w:t>The minimum loan amount is $25,000 per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lend more than 50 percent of eligible project costs as defined in rule 261—405.5(15).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405.2(3)</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 shall be eligible for not more than $1 million in loans outstanding at any time under this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405.2(4)</w:t>
      </w:r>
      <w:r>
        <w:rPr>
          <w:rFonts w:ascii="Times New Roman" w:hAnsi="Times New Roman"/>
          <w:b w:val="false"/>
          <w:i w:val="false"/>
          <w:color w:val="000000"/>
          <w:sz w:val="22"/>
        </w:rPr>
        <w:t> </w:t>
      </w:r>
      <w:r>
        <w:rPr>
          <w:rFonts w:ascii="Times New Roman" w:hAnsi="Times New Roman"/>
          <w:b w:val="false"/>
          <w:i w:val="false"/>
          <w:color w:val="000000"/>
          <w:sz w:val="22"/>
        </w:rPr>
        <w:t>A borrower shall be eligible for not more than $1 million in loans outstanding at any time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issue a loan that exceeds the value of the collateral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405.2(6)</w:t>
      </w:r>
      <w:r>
        <w:rPr>
          <w:rFonts w:ascii="Times New Roman" w:hAnsi="Times New Roman"/>
          <w:b w:val="false"/>
          <w:i w:val="false"/>
          <w:color w:val="000000"/>
          <w:sz w:val="22"/>
        </w:rPr>
        <w:t> </w:t>
      </w:r>
      <w:r>
        <w:rPr>
          <w:rFonts w:ascii="Times New Roman" w:hAnsi="Times New Roman"/>
          <w:b w:val="false"/>
          <w:i w:val="false"/>
          <w:color w:val="000000"/>
          <w:sz w:val="22"/>
        </w:rPr>
        <w:t>Security for loans. The board will accept security for a loan. The following forms of collateral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Dedicated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forms of collateral if approved by the board, and only if the forms of collateral listed in paragraphs 405.2(6)</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405.2(7)</w:t>
      </w:r>
      <w:r>
        <w:rPr>
          <w:rFonts w:ascii="Times New Roman" w:hAnsi="Times New Roman"/>
          <w:b w:val="false"/>
          <w:i w:val="false"/>
          <w:color w:val="000000"/>
          <w:sz w:val="22"/>
        </w:rPr>
        <w:t> </w:t>
      </w:r>
      <w:r>
        <w:rPr>
          <w:rFonts w:ascii="Times New Roman" w:hAnsi="Times New Roman"/>
          <w:b w:val="false"/>
          <w:i w:val="false"/>
          <w:color w:val="000000"/>
          <w:sz w:val="22"/>
        </w:rPr>
        <w:t>Term. The duration of the loan shall be for 20 years, the estimated useful life of the project that is financed by the loan, the terms of any other loans used to finance the project, or the estimated return on investment for the project, whichever is shortest.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4263C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261—405.3</w:t>
      </w:r>
      <w:r>
        <w:rPr>
          <w:rFonts w:ascii="Times New Roman" w:hAnsi="Times New Roman"/>
          <w:b/>
          <w:i w:val="false"/>
          <w:color w:val="000000"/>
          <w:sz w:val="22"/>
        </w:rPr>
        <w:t xml:space="preserve">(15) </w:t>
      </w:r>
      <w:r>
        <w:rPr>
          <w:rFonts w:ascii="Times New Roman" w:hAnsi="Times New Roman"/>
          <w:b/>
          <w:i w:val="false"/>
          <w:color w:val="000000"/>
          <w:sz w:val="22"/>
        </w:rPr>
        <w:t xml:space="preserve">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405.3(1)</w:t>
      </w:r>
      <w:r>
        <w:rPr>
          <w:rFonts w:ascii="Times New Roman" w:hAnsi="Times New Roman"/>
          <w:b w:val="false"/>
          <w:i w:val="false"/>
          <w:color w:val="000000"/>
          <w:sz w:val="22"/>
        </w:rPr>
        <w:t> </w:t>
      </w:r>
      <w:r>
        <w:rPr>
          <w:rFonts w:ascii="Times New Roman" w:hAnsi="Times New Roman"/>
          <w:b w:val="false"/>
          <w:i/>
          <w:color w:val="000000"/>
          <w:sz w:val="22"/>
        </w:rPr>
        <w:t xml:space="preserve">Eligible borrowers. </w:t>
      </w:r>
      <w:r>
        <w:rPr>
          <w:rFonts w:ascii="Times New Roman" w:hAnsi="Times New Roman"/>
          <w:b w:val="false"/>
          <w:i w:val="false"/>
          <w:color w:val="000000"/>
          <w:sz w:val="22"/>
        </w:rPr>
        <w:t>The project shall be wholly owned by the borrower. Eligible borrowers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whose primary residence is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registered and domiciled in Iowa. For businesses organized as limited liability companies, each member of the limited liability company must be domiciled in Iowa and be an eligible borrower.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Water and wastewater utilities subject to Iowa Code chapter </w:t>
      </w:r>
      <w:hyperlink r:id="rId10">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 xml:space="preserve">, rural water districts subject to Iowa Code chapters </w:t>
      </w:r>
      <w:hyperlink r:id="rId11">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sanitary districts subject to Iowa Code chapter </w:t>
      </w:r>
      <w:hyperlink r:id="rId13">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405.3(2)</w:t>
      </w:r>
      <w:r>
        <w:rPr>
          <w:rFonts w:ascii="Times New Roman" w:hAnsi="Times New Roman"/>
          <w:b w:val="false"/>
          <w:i w:val="false"/>
          <w:color w:val="000000"/>
          <w:sz w:val="22"/>
        </w:rPr>
        <w:t> </w:t>
      </w:r>
      <w:r>
        <w:rPr>
          <w:rFonts w:ascii="Times New Roman" w:hAnsi="Times New Roman"/>
          <w:b w:val="false"/>
          <w:i/>
          <w:color w:val="000000"/>
          <w:sz w:val="22"/>
        </w:rPr>
        <w:t xml:space="preserve">Ineligible borrowers. </w:t>
      </w:r>
      <w:r>
        <w:rPr>
          <w:rFonts w:ascii="Times New Roman" w:hAnsi="Times New Roman"/>
          <w:b w:val="false"/>
          <w:i w:val="false"/>
          <w:color w:val="000000"/>
          <w:sz w:val="22"/>
        </w:rPr>
        <w:t>Ineligible borrowers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that is lending to a project and also owns the project or is a member of an organization that owns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or an organization with a history of defaulted loans or compliance violations with other state programs 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Regents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Cities, but not water or wastewater utilities subject to Iowa Code chapter </w:t>
      </w:r>
      <w:hyperlink r:id="rId14">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Gas and electric utilities subject to Iowa Code chapter </w:t>
      </w:r>
      <w:hyperlink r:id="rId15">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 xml:space="preserve"> or rural electric cooperatives subject to Iowa Code chapter </w:t>
      </w:r>
      <w:hyperlink r:id="rId1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4263C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261—405.4</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projects. </w:t>
      </w:r>
      <w:r>
        <w:rPr>
          <w:rFonts w:ascii="Times New Roman" w:hAnsi="Times New Roman"/>
          <w:b w:val="false"/>
          <w:i w:val="false"/>
          <w:color w:val="000000"/>
          <w:sz w:val="22"/>
        </w:rPr>
        <w:t>A proposed project must meet the following criteria to be eligible for a loan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405.4(1)</w:t>
      </w:r>
      <w:r>
        <w:rPr>
          <w:rFonts w:ascii="Times New Roman" w:hAnsi="Times New Roman"/>
          <w:b w:val="false"/>
          <w:i w:val="false"/>
          <w:color w:val="000000"/>
          <w:sz w:val="22"/>
        </w:rPr>
        <w:t> </w:t>
      </w:r>
      <w:r>
        <w:rPr>
          <w:rFonts w:ascii="Times New Roman" w:hAnsi="Times New Roman"/>
          <w:b w:val="false"/>
          <w:i w:val="false"/>
          <w:color w:val="000000"/>
          <w:sz w:val="22"/>
        </w:rPr>
        <w:t>The project shall be located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shall be an alternate energy production facility as defined in Iowa Code section </w:t>
      </w:r>
      <w:hyperlink r:id="rId17">
        <w:r>
          <w:rPr>
            <w:rStyle w:val="Hyperlink"/>
            <w:rFonts w:ascii="Times New Roman" w:hAnsi="Times New Roman"/>
            <w:b w:val="false"/>
            <w:i w:val="false"/>
            <w:color w:val="000000"/>
            <w:sz w:val="22"/>
          </w:rPr>
          <w:t>476.42</w:t>
        </w:r>
      </w:hyperlink>
      <w:r>
        <w:rPr>
          <w:rFonts w:ascii="Times New Roman" w:hAnsi="Times New Roman"/>
          <w:b w:val="false"/>
          <w:i w:val="false"/>
          <w:color w:val="000000"/>
          <w:sz w:val="22"/>
        </w:rPr>
        <w:t xml:space="preserve"> or a small hydro facility as defined in Iowa Code section </w:t>
      </w:r>
      <w:hyperlink r:id="rId18">
        <w:r>
          <w:rPr>
            <w:rStyle w:val="Hyperlink"/>
            <w:rFonts w:ascii="Times New Roman" w:hAnsi="Times New Roman"/>
            <w:b w:val="false"/>
            <w:i w:val="false"/>
            <w:color w:val="000000"/>
            <w:sz w:val="22"/>
          </w:rPr>
          <w:t>476.42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405.4(3)</w:t>
      </w:r>
      <w:r>
        <w:rPr>
          <w:rFonts w:ascii="Times New Roman" w:hAnsi="Times New Roman"/>
          <w:b w:val="false"/>
          <w:i w:val="false"/>
          <w:color w:val="000000"/>
          <w:sz w:val="22"/>
        </w:rPr>
        <w:t> </w:t>
      </w:r>
      <w:r>
        <w:rPr>
          <w:rFonts w:ascii="Times New Roman" w:hAnsi="Times New Roman"/>
          <w:b w:val="false"/>
          <w:i w:val="false"/>
          <w:color w:val="000000"/>
          <w:sz w:val="22"/>
        </w:rPr>
        <w:t>The project shall be wholly owned by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borrower shall be the owner, contract purchaser or lessee of the real property where the project is located.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4263C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261—405.5</w:t>
      </w:r>
      <w:r>
        <w:rPr>
          <w:rFonts w:ascii="Times New Roman" w:hAnsi="Times New Roman"/>
          <w:b/>
          <w:i w:val="false"/>
          <w:color w:val="000000"/>
          <w:sz w:val="22"/>
        </w:rPr>
        <w:t xml:space="preserve">(15) </w:t>
      </w:r>
      <w:r>
        <w:rPr>
          <w:rFonts w:ascii="Times New Roman" w:hAnsi="Times New Roman"/>
          <w:b/>
          <w:i w:val="false"/>
          <w:color w:val="000000"/>
          <w:sz w:val="22"/>
        </w:rPr>
        <w:t xml:space="preserve">Eligible and ineligible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405.5(1)</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Examples of eligible costs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and personal property comprising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and equipment required for necessary site preparation, construction and installation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 for site preparation, construction and installation of a project. Only labor that is performed by a third party such as an independent contractor will be considered an eligible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405.5(2)</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Examples of ineligible costs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Administrative costs not associated with site preparation, construction and installation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incurred prior to the board’s approval of a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Interconnection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associated with maintenance, operation or repair of a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costs that the board determines to be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4263C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261—405.6</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5994C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10/20/21</w:t>
      </w:r>
      <w:r>
        <w:rPr>
          <w:rFonts w:ascii="Times New Roman" w:hAnsi="Times New Roman"/>
          <w:b w:val="false"/>
          <w:i w:val="false"/>
          <w:color w:val="000000"/>
          <w:sz w:val="22"/>
        </w:rPr>
        <w:t xml:space="preserve">, effective 9/30/21. </w:t>
      </w:r>
    </w:p>
    <w:p>
      <w:pPr>
        <w:spacing w:before="0" w:after="0"/>
        <w:ind w:left="120"/>
        <w:jc w:val="both"/>
      </w:pPr>
      <w:r>
        <w:rPr>
          <w:rFonts w:ascii="Times New Roman" w:hAnsi="Times New Roman"/>
          <w:b/>
          <w:i w:val="false"/>
          <w:color w:val="000000"/>
          <w:sz w:val="22"/>
        </w:rPr>
        <w:t>261—405.7</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w:t>
      </w:r>
      <w:r>
        <w:rPr>
          <w:rFonts w:ascii="Times New Roman" w:hAnsi="Times New Roman"/>
          <w:b w:val="false"/>
          <w:i w:val="false"/>
          <w:color w:val="000000"/>
          <w:sz w:val="22"/>
        </w:rPr>
        <w:t>The authority will notify successful applicants in writing of an approved request for funding. Such a notification may include the terms or conditions under which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405.7(2)</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After notifying the borrower of an award, the authority will offer a contract to the borrower. The contract shall be between the Iowa energy center and the borrower. An award shall not constitute a binding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405.7(3)</w:t>
      </w:r>
      <w:r>
        <w:rPr>
          <w:rFonts w:ascii="Times New Roman" w:hAnsi="Times New Roman"/>
          <w:b w:val="false"/>
          <w:i w:val="false"/>
          <w:color w:val="000000"/>
          <w:sz w:val="22"/>
        </w:rPr>
        <w:t> </w:t>
      </w:r>
      <w:r>
        <w:rPr>
          <w:rFonts w:ascii="Times New Roman" w:hAnsi="Times New Roman"/>
          <w:b w:val="false"/>
          <w:i/>
          <w:color w:val="000000"/>
          <w:sz w:val="22"/>
        </w:rPr>
        <w:t xml:space="preserve">Transmittal. </w:t>
      </w:r>
      <w:r>
        <w:rPr>
          <w:rFonts w:ascii="Times New Roman" w:hAnsi="Times New Roman"/>
          <w:b w:val="false"/>
          <w:i w:val="false"/>
          <w:color w:val="000000"/>
          <w:sz w:val="22"/>
        </w:rPr>
        <w:t xml:space="preserve">The borrower must execute and return the contract to the authority within 45 days of the transmittal of the final contract from the authority. Failure to do so may be cause for the board to terminate the award.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405.7(4)</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 xml:space="preserve">Borrowers shall submit requests for disbursement of funds on the forms provided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405.7(5)</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substantive change to a project shall require an amendment to the contract. A substantive change to a project includes but is not limited to a change in the loan amount, loan term, or scope of work. The borrower shall request the amendment in writing. No amendment shall be valid until approved by the board. The authority may execute nonsubstantive or corrective changes to the contract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405.7(6)</w:t>
      </w:r>
      <w:r>
        <w:rPr>
          <w:rFonts w:ascii="Times New Roman" w:hAnsi="Times New Roman"/>
          <w:b w:val="false"/>
          <w:i w:val="false"/>
          <w:color w:val="000000"/>
          <w:sz w:val="22"/>
        </w:rPr>
        <w:t> </w:t>
      </w:r>
      <w:r>
        <w:rPr>
          <w:rFonts w:ascii="Times New Roman" w:hAnsi="Times New Roman"/>
          <w:b w:val="false"/>
          <w:i/>
          <w:color w:val="000000"/>
          <w:sz w:val="22"/>
        </w:rPr>
        <w:t xml:space="preserve">Closeout. </w:t>
      </w:r>
      <w:r>
        <w:rPr>
          <w:rFonts w:ascii="Times New Roman" w:hAnsi="Times New Roman"/>
          <w:b w:val="false"/>
          <w:i w:val="false"/>
          <w:color w:val="000000"/>
          <w:sz w:val="22"/>
        </w:rPr>
        <w:t xml:space="preserve">Upon contract expiration or project completion, the authority shall initiate project closeout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 xml:space="preserve">Borrowers shall retain all financial records, supporting documents and all other records pertinent to the loan for three years after the contract is closed or the loan is put in default and is not cured.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405.7(8)</w:t>
      </w:r>
      <w:r>
        <w:rPr>
          <w:rFonts w:ascii="Times New Roman" w:hAnsi="Times New Roman"/>
          <w:b w:val="false"/>
          <w:i w:val="false"/>
          <w:color w:val="000000"/>
          <w:sz w:val="22"/>
        </w:rPr>
        <w:t> </w:t>
      </w:r>
      <w:r>
        <w:rPr>
          <w:rFonts w:ascii="Times New Roman" w:hAnsi="Times New Roman"/>
          <w:b w:val="false"/>
          <w:i/>
          <w:color w:val="000000"/>
          <w:sz w:val="22"/>
        </w:rPr>
        <w:t xml:space="preserve">Reporting and compliance. </w:t>
      </w:r>
      <w:r>
        <w:rPr>
          <w:rFonts w:ascii="Times New Roman" w:hAnsi="Times New Roman"/>
          <w:b w:val="false"/>
          <w:i w:val="false"/>
          <w:color w:val="000000"/>
          <w:sz w:val="22"/>
        </w:rPr>
        <w:t>A start-up report is due to the authority within 30 days of the date that the project is placed in service. The report shall include but is not limited to documentation of installed costs of the project, one or more photographs, a sample invoice, and a description of any unexpected problems encountered during construction or installation of the project. The authority reserves the right to conduct a site visit of all awarded projects to ensure the projects were built as proposed and to provide verification of ongoing operation. The authority will monitor all loans to ensure that loan proceeds have been spent as identified in the contract and that all other sources of financing have been committed to the project. Borrowers shall be required to notify the authority of any change in ownership. Any loan made pursuant to this program shall become due for payment upon sale of the project for which the loan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during the construction of a project or the repayment of the loan, the authority may find that a borrower is in default under the terms of the loan contract. The authority will take prompt, appropriate, and aggressive debt collection action to recover any funds misspent by borrowers.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authority determines that a borrower is in default, the authority may seek recovery of the loan plus interest or other penalties as authorized pursuant to Iowa Code section </w:t>
      </w:r>
      <w:hyperlink r:id="rId19">
        <w:r>
          <w:rPr>
            <w:rStyle w:val="Hyperlink"/>
            <w:rFonts w:ascii="Times New Roman" w:hAnsi="Times New Roman"/>
            <w:b w:val="false"/>
            <w:i w:val="false"/>
            <w:color w:val="000000"/>
            <w:sz w:val="22"/>
          </w:rPr>
          <w:t>476.46</w:t>
        </w:r>
      </w:hyperlink>
      <w:r>
        <w:rPr>
          <w:rFonts w:ascii="Times New Roman" w:hAnsi="Times New Roman"/>
          <w:b w:val="false"/>
          <w:i w:val="false"/>
          <w:color w:val="000000"/>
          <w:sz w:val="22"/>
        </w:rPr>
        <w:t xml:space="preserve">, negotiate alternative payment schedules, suspend or discontinue collection efforts and take other action as the authority deems necessary.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attempt to collect the amount owed. Any negotiated settlement, write-off, or discontinuance of collection efforts is subject to final review by and approval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authority refers a defaulted contract to outside counsel for debt collection, then the terms of the contract between the authority and the outside counsel regarding the scope of counsel’s authorization to accept settlements shall apply.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4263C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261—405.8</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Applicability after June 30, 2021.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the authority shall not initiate any new loans under the alternate energy revolving loan program after June 30, 2021.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other provisions of law, the rules adopted in this chapter shall continue to apply to agreements entered into on or before June 30, 2021.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476.46</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4263C</w:t>
      </w:r>
      <w:r>
        <w:rPr>
          <w:rFonts w:ascii="Times New Roman" w:hAnsi="Times New Roman"/>
          <w:b w:val="false"/>
          <w:i w:val="false"/>
          <w:color w:val="000000"/>
          <w:sz w:val="21"/>
        </w:rPr>
        <w:t xml:space="preserve"> (Notice ARC 4148C,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Emergency After Notice ARC 5994C</w:t>
      </w:r>
      <w:r>
        <w:rPr>
          <w:rFonts w:ascii="Times New Roman" w:hAnsi="Times New Roman"/>
          <w:b w:val="false"/>
          <w:i w:val="false"/>
          <w:color w:val="000000"/>
          <w:sz w:val="21"/>
        </w:rPr>
        <w:t xml:space="preserve"> (Notice ARC 5878C, IAB 8/25/21)</w:t>
      </w:r>
      <w:r>
        <w:rPr>
          <w:rFonts w:ascii="Times New Roman" w:hAnsi="Times New Roman"/>
          <w:b w:val="false"/>
          <w:i w:val="false"/>
          <w:color w:val="000000"/>
          <w:sz w:val="21"/>
        </w:rPr>
        <w:t>, IAB 10/20/21, effective 9/30/21]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s://www.legis.iowa.gov/docs/ico/chapter/476.42.pdf" Type="http://schemas.openxmlformats.org/officeDocument/2006/relationships/hyperlink" Id="rId8"/>
    <Relationship TargetMode="External" Target="https://www.legis.iowa.gov/docs/ico/chapter/476.42.pdf" Type="http://schemas.openxmlformats.org/officeDocument/2006/relationships/hyperlink" Id="rId9"/>
    <Relationship TargetMode="External" Target="https://www.legis.iowa.gov/docs/ico/chapter/388.pdf" Type="http://schemas.openxmlformats.org/officeDocument/2006/relationships/hyperlink" Id="rId10"/>
    <Relationship TargetMode="External" Target="https://www.legis.iowa.gov/docs/ico/chapter/357A.pdf" Type="http://schemas.openxmlformats.org/officeDocument/2006/relationships/hyperlink" Id="rId11"/>
    <Relationship TargetMode="External" Target="https://www.legis.iowa.gov/docs/ico/chapter/504.pdf" Type="http://schemas.openxmlformats.org/officeDocument/2006/relationships/hyperlink" Id="rId12"/>
    <Relationship TargetMode="External" Target="https://www.legis.iowa.gov/docs/ico/chapter/358.pdf" Type="http://schemas.openxmlformats.org/officeDocument/2006/relationships/hyperlink" Id="rId13"/>
    <Relationship TargetMode="External" Target="https://www.legis.iowa.gov/docs/ico/chapter/388.pdf" Type="http://schemas.openxmlformats.org/officeDocument/2006/relationships/hyperlink" Id="rId14"/>
    <Relationship TargetMode="External" Target="https://www.legis.iowa.gov/docs/ico/chapter/388.pdf" Type="http://schemas.openxmlformats.org/officeDocument/2006/relationships/hyperlink" Id="rId15"/>
    <Relationship TargetMode="External" Target="https://www.legis.iowa.gov/docs/ico/chapter/476.pdf" Type="http://schemas.openxmlformats.org/officeDocument/2006/relationships/hyperlink" Id="rId16"/>
    <Relationship TargetMode="External" Target="https://www.legis.iowa.gov/docs/ico/chapter/476.42.pdf" Type="http://schemas.openxmlformats.org/officeDocument/2006/relationships/hyperlink" Id="rId17"/>
    <Relationship TargetMode="External" Target="https://www.legis.iowa.gov/docs/ico/chapter/476.42.pdf" Type="http://schemas.openxmlformats.org/officeDocument/2006/relationships/hyperlink" Id="rId18"/>
    <Relationship TargetMode="External" Target="https://www.legis.iowa.gov/docs/ico/chapter/476.46.pdf" Type="http://schemas.openxmlformats.org/officeDocument/2006/relationships/hyperlink" Id="rId19"/>
    <Relationship TargetMode="External" Target="https://www.legis.iowa.gov/docs/ico/chapter/15.120.pdf" Type="http://schemas.openxmlformats.org/officeDocument/2006/relationships/hyperlink" Id="rId20"/>
    <Relationship TargetMode="External" Target="https://www.legis.iowa.gov/docs/ico/chapter/476.46.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