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403</w:t>
      </w:r>
    </w:p>
    <w:p>
      <w:pPr>
        <w:spacing w:before="0" w:after="0"/>
        <w:ind w:left="120"/>
        <w:jc w:val="center"/>
      </w:pPr>
      <w:r>
        <w:rPr>
          <w:rFonts w:ascii="Times New Roman" w:hAnsi="Times New Roman"/>
          <w:b w:val="false"/>
          <w:i w:val="false"/>
          <w:color w:val="000000"/>
          <w:sz w:val="21"/>
        </w:rPr>
        <w:t>IOWA ENERGY CENTER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261—403.1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Iowa energy center is established within the authority with the following purposes: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expand workforce and career opportunities for workers in the energy sector to ensure that the state is able to attract and train professionals to meet the state’s future energy needs.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support technology-based development by encouraging public-private partnerships and innovative manufacturers to develop and bring to market new energy technologies.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support rural and underserved areas and vulnerable populations by creating opportunities for greater access to energy efficiency expertise, training, programs, and cyber security preparedness for small utilities.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support the expansion of natural gas infrastructure to rural and underserved areas of the state where the absence is a limiting factor to economic development.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promote and fund research, development, and commercialization of biomass technology to benefit the state economically and environmentally by further realizing the value-added attributes of biomass in the development of bioenergy, biofuels, and biochemicals.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encourage growth of the alternative fuel vehicle market, particularly for electric vehicles, and the infrastructure necessary to support the market.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support efforts to modernize the electric grid infrastructure of the state to support increased capacity and new technologies.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To support research and development of strategies for carbon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6492C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261—403.2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governing board of the Iowa energy center established pursuant to Iowa Code section </w:t>
      </w:r>
      <w:hyperlink r:id="rId6">
        <w:r>
          <w:rPr>
            <w:rStyle w:val="Hyperlink"/>
            <w:rFonts w:ascii="Times New Roman" w:hAnsi="Times New Roman"/>
            <w:b w:val="false"/>
            <w:i w:val="false"/>
            <w:color w:val="000000"/>
            <w:sz w:val="22"/>
          </w:rPr>
          <w:t>15.120(2)</w:t>
        </w:r>
      </w:hyperlink>
      <w:r>
        <w:rPr>
          <w:rFonts w:ascii="Times New Roman" w:hAnsi="Times New Roman"/>
          <w:b w:val="false"/>
          <w:i w:val="false"/>
          <w:color w:val="000000"/>
          <w:sz w:val="22"/>
        </w:rPr>
        <w:t>, and includes the members appointed to the board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“Center” </w:t>
      </w:r>
      <w:r>
        <w:rPr>
          <w:rFonts w:ascii="Times New Roman" w:hAnsi="Times New Roman"/>
          <w:b w:val="false"/>
          <w:i w:val="false"/>
          <w:color w:val="000000"/>
          <w:sz w:val="22"/>
        </w:rPr>
        <w:t xml:space="preserve">means the Iowa energy center established pursuant to Iowa Code section </w:t>
      </w:r>
      <w:hyperlink r:id="rId7">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a committee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“Internet site” </w:t>
      </w:r>
      <w:r>
        <w:rPr>
          <w:rFonts w:ascii="Times New Roman" w:hAnsi="Times New Roman"/>
          <w:b w:val="false"/>
          <w:i w:val="false"/>
          <w:color w:val="000000"/>
          <w:sz w:val="22"/>
        </w:rPr>
        <w:t xml:space="preserve">means the information and related content maintained by the authority and found at </w:t>
      </w:r>
      <w:hyperlink r:id="rId8">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“Internet site” may include content at affiliated sites whose content is integrated with that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261—403.3</w:t>
      </w:r>
      <w:r>
        <w:rPr>
          <w:rFonts w:ascii="Times New Roman" w:hAnsi="Times New Roman"/>
          <w:b/>
          <w:i w:val="false"/>
          <w:color w:val="000000"/>
          <w:sz w:val="22"/>
        </w:rPr>
        <w:t xml:space="preserve">(15) </w:t>
      </w:r>
      <w:r>
        <w:rPr>
          <w:rFonts w:ascii="Times New Roman" w:hAnsi="Times New Roman"/>
          <w:b/>
          <w:i w:val="false"/>
          <w:color w:val="000000"/>
          <w:sz w:val="22"/>
        </w:rPr>
        <w:t xml:space="preserve">Iowa energy center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403.3(1)</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A governing board is established consisting of the following members appointed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Iowa state university of science and technology, in consultation with the president of that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university of Iowa, in consultation with the president of that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university of northern Iowa, in consultation with the president of that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private colleges and universities within the state, in consultation with the Iowa association of independent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community colleges, in consultation with the Iowa association of community college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economic development authority, in consultation with the director of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state department of transportation, in consultation with the director of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office of consumer advocate, in consultation with the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utilities board, in consultation with the chair of the utilities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rural electric cooperatives, in consultation with the Iowa association of electric cooperatives.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municipal utilities, in consultation with the Iowa association of municipal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Two members representing investor-owned utilities, one representing gas utilities, and one representing electric utilities, in consultation with the Iowa utility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403.3(2)</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 xml:space="preserve">Members of the board are appointed for staggered terms of four years beginning and ending as provided in Iowa Code section </w:t>
      </w:r>
      <w:hyperlink r:id="rId9">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 xml:space="preserve">. A person appointed to fill a vacancy serves only for the unexpired portion of the term. A member is eligible for reappointment. Any vacancy shall be filled by the governor as provided for in Iowa Code section </w:t>
      </w:r>
      <w:hyperlink r:id="rId10">
        <w:r>
          <w:rPr>
            <w:rStyle w:val="Hyperlink"/>
            <w:rFonts w:ascii="Times New Roman" w:hAnsi="Times New Roman"/>
            <w:b w:val="false"/>
            <w:i w:val="false"/>
            <w:color w:val="000000"/>
            <w:sz w:val="22"/>
          </w:rPr>
          <w:t>15.120(2)</w:t>
        </w:r>
      </w:hyperlink>
      <w:r>
        <w:rPr>
          <w:rFonts w:ascii="Times New Roman" w:hAnsi="Times New Roman"/>
          <w:b w:val="false"/>
          <w:i w:val="false"/>
          <w:color w:val="000000"/>
          <w:sz w:val="22"/>
        </w:rPr>
        <w:t>. The terms of board members shall be staggered as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403.3(3)</w:t>
      </w:r>
      <w:r>
        <w:rPr>
          <w:rFonts w:ascii="Times New Roman" w:hAnsi="Times New Roman"/>
          <w:b w:val="false"/>
          <w:i w:val="false"/>
          <w:color w:val="000000"/>
          <w:sz w:val="22"/>
        </w:rPr>
        <w:t> </w:t>
      </w:r>
      <w:r>
        <w:rPr>
          <w:rFonts w:ascii="Times New Roman" w:hAnsi="Times New Roman"/>
          <w:b w:val="false"/>
          <w:i/>
          <w:color w:val="000000"/>
          <w:sz w:val="22"/>
        </w:rPr>
        <w:t xml:space="preserve">Quorum and voting requirements. </w:t>
      </w:r>
      <w:r>
        <w:rPr>
          <w:rFonts w:ascii="Times New Roman" w:hAnsi="Times New Roman"/>
          <w:b w:val="false"/>
          <w:i w:val="false"/>
          <w:color w:val="000000"/>
          <w:sz w:val="22"/>
        </w:rPr>
        <w:t>Seven or more members of the board constitute a quorum, and any board action requires an affirmative vote by a majority of the members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403.3(4)</w:t>
      </w:r>
      <w:r>
        <w:rPr>
          <w:rFonts w:ascii="Times New Roman" w:hAnsi="Times New Roman"/>
          <w:b w:val="false"/>
          <w:i w:val="false"/>
          <w:color w:val="000000"/>
          <w:sz w:val="22"/>
        </w:rPr>
        <w:t> </w:t>
      </w:r>
      <w:r>
        <w:rPr>
          <w:rFonts w:ascii="Times New Roman" w:hAnsi="Times New Roman"/>
          <w:b w:val="false"/>
          <w:i/>
          <w:color w:val="000000"/>
          <w:sz w:val="22"/>
        </w:rPr>
        <w:t xml:space="preserve">Board officers. </w:t>
      </w:r>
      <w:r>
        <w:rPr>
          <w:rFonts w:ascii="Times New Roman" w:hAnsi="Times New Roman"/>
          <w:b w:val="false"/>
          <w:i w:val="false"/>
          <w:color w:val="000000"/>
          <w:sz w:val="22"/>
        </w:rPr>
        <w:t>The board shall elect a chairperson and a vice chairperson annually and may elect other officers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403.3(5)</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Meetings of the board are held at the call of the chairperson or when two members of the board request a meeting. The board generally meets quarterly at the authority’s offices or by electronic means. By notice of the regularly published meeting agendas, the board and its committees may hold regular or special meetings at other locations within the state. Meeting agendas are available on the authority’s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of the board and any committee it may establish are conducted in accordance with the provisions of Iowa Code chapter </w:t>
      </w:r>
      <w:hyperlink r:id="rId1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Any person may attend and observe the proceedings of the board and committee meetings except for those portions of the meetings conducted in closed session pursuant to Iowa Code section </w:t>
      </w:r>
      <w:hyperlink r:id="rId12">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Persons observing may use cameras or recording devices during the meeting so long as the use of such devices does not interfere with the proceedings. The chairperson may order any person to discontinue the use of such a device if the chairperson believes it is causing an interference with the proceedings. The chairperson may have any person excluded who fails to comply with such an order. The chairperson may also exclude any person generally causing a disruption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403.3(6)</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The board may, from time to time, establish advisory committees for purposes of overseeing the center, its programs, and its operations. Such committees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grant committee, the purpose of which shall be to assist the board in making and administering awards of grants under the center’s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committee is an advisory body comprised of voting members of the board who are selected annually by the voting members of the board. The membership and size of the committee as well as the terms of the committee members will be established annually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grant committee will elect a chairperson. The chairperson may appoint members of the grant committee to serve on a grant committee subcommittee if necessary. Such a subcommittee is advisory only and may perform such duties as may be assigned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duties of the grant committee may include reviewing applications for grant awards, conducting a thorough review of proposed grant applications, making recommendations to the board regarding the size and condition of grant awards, and any other duty assigned by the board in relation to the programs administered by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the committee members constitutes a quorum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Meetings of the grant committee are held at the call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loan committee, the purpose of which shall be to assist the board in making and administering loan awards under the center’s programs, including the alternate energy revolving loan program and energy infrastructure revolving loan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committee is an advisory body comprised of voting members of the board who are selected annually by the voting members of the board. The membership and size of the committee as well as the terms of the committee members will be established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loan committee will elect a chairperson. The chairperson may appoint members of the loan committee to serve on a loan committee subcommittee if necessary. Such a subcommittee is advisory only and may perform such duties as may be assigned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duties of the loan committee may include reviewing applications for loans, conducting a thorough review of proposed loan applications, making recommendations to the board regarding the size and condition of loans, and any other duty assigned by the board in relation to the programs administered by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the committee members constitutes a quorum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Meetings of the loan committee are held at the call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 xml:space="preserve">; </w:t>
      </w:r>
      <w:r>
        <w:rPr>
          <w:rFonts w:ascii="Times New Roman" w:hAnsi="Times New Roman"/>
          <w:b/>
          <w:i w:val="false"/>
          <w:color w:val="000000"/>
          <w:sz w:val="16"/>
        </w:rPr>
        <w:t>ARC 6492C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4063C</w:t>
      </w:r>
      <w:r>
        <w:rPr>
          <w:rFonts w:ascii="Times New Roman" w:hAnsi="Times New Roman"/>
          <w:b w:val="false"/>
          <w:i w:val="false"/>
          <w:color w:val="000000"/>
          <w:sz w:val="21"/>
        </w:rPr>
        <w:t xml:space="preserve"> (Notice ARC 3842C, IAB 6/20/18)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Emergency After Notice ARC 5994C</w:t>
      </w:r>
      <w:r>
        <w:rPr>
          <w:rFonts w:ascii="Times New Roman" w:hAnsi="Times New Roman"/>
          <w:b w:val="false"/>
          <w:i w:val="false"/>
          <w:color w:val="000000"/>
          <w:sz w:val="21"/>
        </w:rPr>
        <w:t xml:space="preserve"> (Notice ARC 5878C, IAB 8/25/21)</w:t>
      </w:r>
      <w:r>
        <w:rPr>
          <w:rFonts w:ascii="Times New Roman" w:hAnsi="Times New Roman"/>
          <w:b w:val="false"/>
          <w:i w:val="false"/>
          <w:color w:val="000000"/>
          <w:sz w:val="21"/>
        </w:rPr>
        <w:t>, IAB 10/20/21, effective 9/30/21]</w:t>
      </w:r>
    </w:p>
    <w:p>
      <w:pPr>
        <w:spacing w:before="0" w:after="0"/>
        <w:ind w:left="120"/>
        <w:jc w:val="center"/>
      </w:pPr>
      <w:r>
        <w:rPr>
          <w:rFonts w:ascii="Times New Roman" w:hAnsi="Times New Roman"/>
          <w:b w:val="false"/>
          <w:i w:val="false"/>
          <w:color w:val="000000"/>
          <w:sz w:val="21"/>
        </w:rPr>
        <w:t>[Filed ARC 6492C</w:t>
      </w:r>
      <w:r>
        <w:rPr>
          <w:rFonts w:ascii="Times New Roman" w:hAnsi="Times New Roman"/>
          <w:b w:val="false"/>
          <w:i w:val="false"/>
          <w:color w:val="000000"/>
          <w:sz w:val="21"/>
        </w:rPr>
        <w:t xml:space="preserve"> (Notice ARC 6383C, IAB 6/29/22)</w:t>
      </w:r>
      <w:r>
        <w:rPr>
          <w:rFonts w:ascii="Times New Roman" w:hAnsi="Times New Roman"/>
          <w:b w:val="false"/>
          <w:i w:val="false"/>
          <w:color w:val="000000"/>
          <w:sz w:val="21"/>
        </w:rPr>
        <w:t>, IAB 9/7/22, effective 10/12/22]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20.pdf" Type="http://schemas.openxmlformats.org/officeDocument/2006/relationships/hyperlink" Id="rId6"/>
    <Relationship TargetMode="External" Target="https://www.legis.iowa.gov/docs/ico/chapter/15.120.pdf" Type="http://schemas.openxmlformats.org/officeDocument/2006/relationships/hyperlink" Id="rId7"/>
    <Relationship TargetMode="External" Target="http://www.iowaeda.com" Type="http://schemas.openxmlformats.org/officeDocument/2006/relationships/hyperlink" Id="rId8"/>
    <Relationship TargetMode="External" Target="https://www.legis.iowa.gov/docs/ico/chapter/69.19.pdf" Type="http://schemas.openxmlformats.org/officeDocument/2006/relationships/hyperlink" Id="rId9"/>
    <Relationship TargetMode="External" Target="https://www.legis.iowa.gov/docs/ico/chapter/15.120.pdf" Type="http://schemas.openxmlformats.org/officeDocument/2006/relationships/hyperlink" Id="rId10"/>
    <Relationship TargetMode="External" Target="https://www.legis.iowa.gov/docs/ico/chapter/21.pdf" Type="http://schemas.openxmlformats.org/officeDocument/2006/relationships/hyperlink" Id="rId11"/>
    <Relationship TargetMode="External" Target="https://www.legis.iowa.gov/docs/ico/chapter/21.5.pdf" Type="http://schemas.openxmlformats.org/officeDocument/2006/relationships/hyperlink" Id="rId12"/>
    <Relationship TargetMode="External" Target="https://www.legis.iowa.gov/docs/ico/chapter/15.120.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