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MAIN STREET IOWA PROGRAM</w:t>
      </w:r>
    </w:p>
    <w:p>
      <w:pPr>
        <w:spacing w:before="0" w:after="0"/>
        <w:ind w:left="120"/>
        <w:jc w:val="center"/>
      </w:pPr>
      <w:r>
        <w:rPr>
          <w:rFonts w:ascii="Times New Roman" w:hAnsi="Times New Roman"/>
          <w:b w:val="false"/>
          <w:i w:val="false"/>
          <w:color w:val="000000"/>
          <w:sz w:val="14"/>
        </w:rPr>
        <w:t>[Prior to 1/14/87, Iowa Development Commission[520]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261—39.1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main street Iowa program is to stimulate economic development within the context of historic preservation and to establish a strong public/private partnership to revitalize traditional commercial districts in Iowa communities. The main street Iowa program emphasizes community self-reliance and the traditional assets of personal service, local ownership and unique architecture historically prevalent in traditional commercial districts. The main street Iowa program is based on four strategies which, when applied together, create a positive image and an improved economy in these districts. The strategies are organization, promotion, design and economic vitality.</w:t>
      </w:r>
    </w:p>
    <w:p>
      <w:pPr>
        <w:spacing w:before="0" w:after="0"/>
        <w:ind w:left="120"/>
        <w:jc w:val="both"/>
      </w:pPr>
      <w:r>
        <w:rPr>
          <w:rFonts w:ascii="Times New Roman" w:hAnsi="Times New Roman"/>
          <w:b w:val="false"/>
          <w:i w:val="false"/>
          <w:color w:val="000000"/>
          <w:sz w:val="22"/>
        </w:rPr>
        <w:t>Communities selected for participation in this program will receive technical assistance from the authority’s main street Iowa staff, professional staff of the National Main Street Center, and other professional consultants and may have professional services of other state agencies to draw upon in order to facilitate the communities’ local main street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2748C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261—39.2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will apply to the main street Iowa program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activity” </w:t>
      </w:r>
      <w:r>
        <w:rPr>
          <w:rFonts w:ascii="Times New Roman" w:hAnsi="Times New Roman"/>
          <w:b w:val="false"/>
          <w:i w:val="false"/>
          <w:color w:val="000000"/>
          <w:sz w:val="22"/>
        </w:rPr>
        <w:t>includes organization, promotion, design and economic vitality activities to create a positive image and an improved economy in a city’s traditional commercial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means a city in Iowa that files a joint application with a local nonprofit organization established by the community to govern the local main street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Main Street Center” </w:t>
      </w:r>
      <w:r>
        <w:rPr>
          <w:rFonts w:ascii="Times New Roman" w:hAnsi="Times New Roman"/>
          <w:b w:val="false"/>
          <w:i w:val="false"/>
          <w:color w:val="000000"/>
          <w:sz w:val="22"/>
        </w:rPr>
        <w:t>means a nonprofit subsidiary of the National Trust for Historic Preservation, a nonprofit organization chartered by the United States Congress. The National Main Street Center owns the licensed, trademarked Main Street Four-Point Approach®.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main street Iowa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“Traditional commercial district” </w:t>
      </w:r>
      <w:r>
        <w:rPr>
          <w:rFonts w:ascii="Times New Roman" w:hAnsi="Times New Roman"/>
          <w:b w:val="false"/>
          <w:i w:val="false"/>
          <w:color w:val="000000"/>
          <w:sz w:val="22"/>
        </w:rPr>
        <w:t>means a downtown or neighborhood area that is walkable and is dominated by historic or older commercial architecture and contiguous commercial uses. A traditional commercial district defines the target area of the local program efforts.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2748C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261—39.3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w:t>
      </w:r>
      <w:r>
        <w:rPr>
          <w:rFonts w:ascii="Times New Roman" w:hAnsi="Times New Roman"/>
          <w:b w:val="false"/>
          <w:i w:val="false"/>
          <w:color w:val="000000"/>
          <w:sz w:val="22"/>
        </w:rPr>
        <w:t> </w:t>
      </w:r>
      <w:r>
        <w:rPr>
          <w:rFonts w:ascii="Times New Roman" w:hAnsi="Times New Roman"/>
          <w:b w:val="false"/>
          <w:i/>
          <w:color w:val="000000"/>
          <w:sz w:val="22"/>
        </w:rPr>
        <w:t xml:space="preserve">Administering agency. </w:t>
      </w:r>
      <w:r>
        <w:rPr>
          <w:rFonts w:ascii="Times New Roman" w:hAnsi="Times New Roman"/>
          <w:b w:val="false"/>
          <w:i w:val="false"/>
          <w:color w:val="000000"/>
          <w:sz w:val="22"/>
        </w:rPr>
        <w:t>The program is administered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39.3(2)</w:t>
      </w:r>
      <w:r>
        <w:rPr>
          <w:rFonts w:ascii="Times New Roman" w:hAnsi="Times New Roman"/>
          <w:b w:val="false"/>
          <w:i w:val="false"/>
          <w:color w:val="000000"/>
          <w:sz w:val="22"/>
        </w:rPr>
        <w:t> </w:t>
      </w:r>
      <w:r>
        <w:rPr>
          <w:rFonts w:ascii="Times New Roman" w:hAnsi="Times New Roman"/>
          <w:b w:val="false"/>
          <w:i/>
          <w:color w:val="000000"/>
          <w:sz w:val="22"/>
        </w:rPr>
        <w:t xml:space="preserve">Subcontracting. </w:t>
      </w:r>
      <w:r>
        <w:rPr>
          <w:rFonts w:ascii="Times New Roman" w:hAnsi="Times New Roman"/>
          <w:b w:val="false"/>
          <w:i w:val="false"/>
          <w:color w:val="000000"/>
          <w:sz w:val="22"/>
        </w:rPr>
        <w:t>The authority may contract with the National Main Street Center for technical and professional services as well as with other appropriate consultants and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39.3(3)</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The authority, upon availability of funds, will distribute applications. The application will describe the program, outline eligibility requirements, and describe the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39.3(4)</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t>
      </w:r>
      <w:r>
        <w:rPr>
          <w:rFonts w:ascii="Times New Roman" w:hAnsi="Times New Roman"/>
          <w:b w:val="false"/>
          <w:i w:val="false"/>
          <w:color w:val="000000"/>
          <w:sz w:val="22"/>
        </w:rPr>
        <w:t>Each selected community shall enter into a standard program agreement with the authority. The program agreement will describe the obligations of the authority and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39.3(5)</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 </w:t>
      </w:r>
      <w:r>
        <w:rPr>
          <w:rFonts w:ascii="Times New Roman" w:hAnsi="Times New Roman"/>
          <w:b w:val="false"/>
          <w:i w:val="false"/>
          <w:color w:val="000000"/>
          <w:sz w:val="22"/>
        </w:rPr>
        <w:t>The director may appoint a state main street advisory council(s) composed of individuals knowledgeable in traditional commercial district revitalization to advise the director on the various elements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2748C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261—39.4</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2748C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10/12/16</w:t>
      </w:r>
      <w:r>
        <w:rPr>
          <w:rFonts w:ascii="Times New Roman" w:hAnsi="Times New Roman"/>
          <w:b w:val="false"/>
          <w:i w:val="false"/>
          <w:color w:val="000000"/>
          <w:sz w:val="22"/>
        </w:rPr>
        <w:t xml:space="preserve">, effective 11/16/16. </w:t>
      </w:r>
    </w:p>
    <w:p>
      <w:pPr>
        <w:spacing w:before="210" w:after="0"/>
        <w:ind w:left="120"/>
        <w:jc w:val="both"/>
      </w:pPr>
      <w:r>
        <w:rPr>
          <w:rFonts w:ascii="Times New Roman" w:hAnsi="Times New Roman"/>
          <w:b/>
          <w:i w:val="false"/>
          <w:color w:val="000000"/>
          <w:sz w:val="22"/>
        </w:rPr>
        <w:t>261—39.5</w:t>
      </w:r>
      <w:r>
        <w:rPr>
          <w:rFonts w:ascii="Times New Roman" w:hAnsi="Times New Roman"/>
          <w:b/>
          <w:i w:val="false"/>
          <w:color w:val="000000"/>
          <w:sz w:val="22"/>
        </w:rPr>
        <w:t xml:space="preserve">(75GA,ch1201) </w:t>
      </w:r>
      <w:r>
        <w:rPr>
          <w:rFonts w:ascii="Times New Roman" w:hAnsi="Times New Roman"/>
          <w:b/>
          <w:i w:val="false"/>
          <w:color w:val="000000"/>
          <w:sz w:val="22"/>
        </w:rPr>
        <w:t xml:space="preserve">Funding.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4/6/11</w:t>
      </w:r>
      <w:r>
        <w:rPr>
          <w:rFonts w:ascii="Times New Roman" w:hAnsi="Times New Roman"/>
          <w:b w:val="false"/>
          <w:i w:val="false"/>
          <w:color w:val="000000"/>
          <w:sz w:val="22"/>
        </w:rPr>
        <w:t>, effective 5/11/11.</w:t>
      </w:r>
    </w:p>
    <w:p>
      <w:pPr>
        <w:spacing w:before="0" w:after="0"/>
        <w:ind w:left="120"/>
        <w:jc w:val="both"/>
      </w:pPr>
      <w:r>
        <w:rPr>
          <w:rFonts w:ascii="Times New Roman" w:hAnsi="Times New Roman"/>
          <w:b/>
          <w:i w:val="false"/>
          <w:color w:val="000000"/>
          <w:sz w:val="22"/>
        </w:rPr>
        <w:t>261—39.6</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and selection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39.6(1)</w:t>
      </w:r>
      <w:r>
        <w:rPr>
          <w:rFonts w:ascii="Times New Roman" w:hAnsi="Times New Roman"/>
          <w:b w:val="false"/>
          <w:i w:val="false"/>
          <w:color w:val="000000"/>
          <w:sz w:val="22"/>
        </w:rPr>
        <w:t> </w:t>
      </w:r>
      <w:r>
        <w:rPr>
          <w:rFonts w:ascii="Times New Roman" w:hAnsi="Times New Roman"/>
          <w:b w:val="false"/>
          <w:i w:val="false"/>
          <w:color w:val="000000"/>
          <w:sz w:val="22"/>
        </w:rPr>
        <w:t>The authority will conduct application workshops around the state. Cities that wish to apply for selection as a main street community must attend one application workshop in order to receive an application form. The authority will send standard application forms to workshop attendees. A completed application shall be returned to the authority, be postmarked no later than the date specified by the authority in the application, and contain the information requested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39.6(2)</w:t>
      </w:r>
      <w:r>
        <w:rPr>
          <w:rFonts w:ascii="Times New Roman" w:hAnsi="Times New Roman"/>
          <w:b w:val="false"/>
          <w:i w:val="false"/>
          <w:color w:val="000000"/>
          <w:sz w:val="22"/>
        </w:rPr>
        <w:t> </w:t>
      </w:r>
      <w:r>
        <w:rPr>
          <w:rFonts w:ascii="Times New Roman" w:hAnsi="Times New Roman"/>
          <w:b w:val="false"/>
          <w:i w:val="false"/>
          <w:color w:val="000000"/>
          <w:sz w:val="22"/>
        </w:rPr>
        <w:t>The director will determine, contingent upon the availability of state funding, the number of cities to be selected for inclusion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39.6(3)</w:t>
      </w:r>
      <w:r>
        <w:rPr>
          <w:rFonts w:ascii="Times New Roman" w:hAnsi="Times New Roman"/>
          <w:b w:val="false"/>
          <w:i w:val="false"/>
          <w:color w:val="000000"/>
          <w:sz w:val="22"/>
        </w:rPr>
        <w:t> </w:t>
      </w:r>
      <w:r>
        <w:rPr>
          <w:rFonts w:ascii="Times New Roman" w:hAnsi="Times New Roman"/>
          <w:b w:val="false"/>
          <w:i w:val="false"/>
          <w:color w:val="000000"/>
          <w:sz w:val="22"/>
        </w:rPr>
        <w:t>Cities will be selected for participation in the program on a competitive basis as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39.6(4)</w:t>
      </w:r>
      <w:r>
        <w:rPr>
          <w:rFonts w:ascii="Times New Roman" w:hAnsi="Times New Roman"/>
          <w:b w:val="false"/>
          <w:i w:val="false"/>
          <w:color w:val="000000"/>
          <w:sz w:val="22"/>
        </w:rPr>
        <w:t> </w:t>
      </w:r>
      <w:r>
        <w:rPr>
          <w:rFonts w:ascii="Times New Roman" w:hAnsi="Times New Roman"/>
          <w:b w:val="false"/>
          <w:i w:val="false"/>
          <w:color w:val="000000"/>
          <w:sz w:val="22"/>
        </w:rPr>
        <w:t>Upon selection of the communities, the authority will notify selected communities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2748C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261—39.7</w:t>
      </w:r>
      <w:r>
        <w:rPr>
          <w:rFonts w:ascii="Times New Roman" w:hAnsi="Times New Roman"/>
          <w:b/>
          <w:i w:val="false"/>
          <w:color w:val="000000"/>
          <w:sz w:val="22"/>
        </w:rPr>
        <w:t xml:space="preserve">(15) </w:t>
      </w:r>
      <w:r>
        <w:rPr>
          <w:rFonts w:ascii="Times New Roman" w:hAnsi="Times New Roman"/>
          <w:b/>
          <w:i w:val="false"/>
          <w:color w:val="000000"/>
          <w:sz w:val="22"/>
        </w:rPr>
        <w:t xml:space="preserve">Selection criteria. </w:t>
      </w:r>
      <w:r>
        <w:rPr>
          <w:rFonts w:ascii="Times New Roman" w:hAnsi="Times New Roman"/>
          <w:b w:val="false"/>
          <w:i w:val="false"/>
          <w:color w:val="000000"/>
          <w:sz w:val="22"/>
        </w:rPr>
        <w:t>The following factors shall be considered in the selection of a city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val="false"/>
          <w:color w:val="000000"/>
          <w:sz w:val="22"/>
        </w:rPr>
        <w:t>The applicant has a well-planned budget demonstrating sustainable funding for ongoing operations and evidence of adequate local sources of funding to support the traditional commercial district revitalization organization and its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val="false"/>
          <w:color w:val="000000"/>
          <w:sz w:val="22"/>
        </w:rPr>
        <w:t>The applicant has garnered broad-based financial and philosophical community support for the local program including support from the 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39.7(3)</w:t>
      </w:r>
      <w:r>
        <w:rPr>
          <w:rFonts w:ascii="Times New Roman" w:hAnsi="Times New Roman"/>
          <w:b w:val="false"/>
          <w:i w:val="false"/>
          <w:color w:val="000000"/>
          <w:sz w:val="22"/>
        </w:rPr>
        <w:t> </w:t>
      </w:r>
      <w:r>
        <w:rPr>
          <w:rFonts w:ascii="Times New Roman" w:hAnsi="Times New Roman"/>
          <w:b w:val="false"/>
          <w:i w:val="false"/>
          <w:color w:val="000000"/>
          <w:sz w:val="22"/>
        </w:rPr>
        <w:t>The applicant has provided evidence of willingness by local stakeholders to get involved in the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39.7(4)</w:t>
      </w:r>
      <w:r>
        <w:rPr>
          <w:rFonts w:ascii="Times New Roman" w:hAnsi="Times New Roman"/>
          <w:b w:val="false"/>
          <w:i w:val="false"/>
          <w:color w:val="000000"/>
          <w:sz w:val="22"/>
        </w:rPr>
        <w:t> </w:t>
      </w:r>
      <w:r>
        <w:rPr>
          <w:rFonts w:ascii="Times New Roman" w:hAnsi="Times New Roman"/>
          <w:b w:val="false"/>
          <w:i w:val="false"/>
          <w:color w:val="000000"/>
          <w:sz w:val="22"/>
        </w:rPr>
        <w:t>The applicant has demonstrated its commitment to the main street approach and has hired or will be hiring an executive director to manage the local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39.7(5)</w:t>
      </w:r>
      <w:r>
        <w:rPr>
          <w:rFonts w:ascii="Times New Roman" w:hAnsi="Times New Roman"/>
          <w:b w:val="false"/>
          <w:i w:val="false"/>
          <w:color w:val="000000"/>
          <w:sz w:val="22"/>
        </w:rPr>
        <w:t> </w:t>
      </w:r>
      <w:r>
        <w:rPr>
          <w:rFonts w:ascii="Times New Roman" w:hAnsi="Times New Roman"/>
          <w:b w:val="false"/>
          <w:i w:val="false"/>
          <w:color w:val="000000"/>
          <w:sz w:val="22"/>
        </w:rPr>
        <w:t>The applicant is committed to historic preservation and preservation-based economic development and has demonstrated its commitment by a track record of preservation planning and a commitment to future preservation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39.7(6)</w:t>
      </w:r>
      <w:r>
        <w:rPr>
          <w:rFonts w:ascii="Times New Roman" w:hAnsi="Times New Roman"/>
          <w:b w:val="false"/>
          <w:i w:val="false"/>
          <w:color w:val="000000"/>
          <w:sz w:val="22"/>
        </w:rPr>
        <w:t> </w:t>
      </w:r>
      <w:r>
        <w:rPr>
          <w:rFonts w:ascii="Times New Roman" w:hAnsi="Times New Roman"/>
          <w:b w:val="false"/>
          <w:i w:val="false"/>
          <w:color w:val="000000"/>
          <w:sz w:val="22"/>
        </w:rPr>
        <w:t>The applicant has provided evidence of traditional commercial district planning efforts and clearly defined goals for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39.7(7)</w:t>
      </w:r>
      <w:r>
        <w:rPr>
          <w:rFonts w:ascii="Times New Roman" w:hAnsi="Times New Roman"/>
          <w:b w:val="false"/>
          <w:i w:val="false"/>
          <w:color w:val="000000"/>
          <w:sz w:val="22"/>
        </w:rPr>
        <w:t> </w:t>
      </w:r>
      <w:r>
        <w:rPr>
          <w:rFonts w:ascii="Times New Roman" w:hAnsi="Times New Roman"/>
          <w:b w:val="false"/>
          <w:i w:val="false"/>
          <w:color w:val="000000"/>
          <w:sz w:val="22"/>
        </w:rPr>
        <w:t>The applicant has defined an organizational structure to manage local program efforts.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39.7(8)</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an eagerness to learn and implement traditional commercial district revitalization strategies and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39.7(9)</w:t>
      </w:r>
      <w:r>
        <w:rPr>
          <w:rFonts w:ascii="Times New Roman" w:hAnsi="Times New Roman"/>
          <w:b w:val="false"/>
          <w:i w:val="false"/>
          <w:color w:val="000000"/>
          <w:sz w:val="22"/>
        </w:rPr>
        <w:t> </w:t>
      </w:r>
      <w:r>
        <w:rPr>
          <w:rFonts w:ascii="Times New Roman" w:hAnsi="Times New Roman"/>
          <w:b w:val="false"/>
          <w:i w:val="false"/>
          <w:color w:val="000000"/>
          <w:sz w:val="22"/>
        </w:rPr>
        <w:t>The applicant has clearly defined the boundaries of the proposed traditional commercial district and has articulated the reasons behind the location of the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39.7(10)</w:t>
      </w:r>
      <w:r>
        <w:rPr>
          <w:rFonts w:ascii="Times New Roman" w:hAnsi="Times New Roman"/>
          <w:b w:val="false"/>
          <w:i w:val="false"/>
          <w:color w:val="000000"/>
          <w:sz w:val="22"/>
        </w:rPr>
        <w:t> </w:t>
      </w:r>
      <w:r>
        <w:rPr>
          <w:rFonts w:ascii="Times New Roman" w:hAnsi="Times New Roman"/>
          <w:b w:val="false"/>
          <w:i w:val="false"/>
          <w:color w:val="000000"/>
          <w:sz w:val="22"/>
        </w:rPr>
        <w:t>The applicant has identified a traditional commercial district that has clear potential for success, as demonstrated by the presence of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Existence of historic character of the traditional commercial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Plans for the traditional commercial district demonstrate a recognition of traditional commercial district trends and address the challenges unique to that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 market capacity defined by a current business environment upon which the district can build its revitalization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 physical capacity defined by building stock and built environment upon which the district can build its revitalization efforts.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2748C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261—39.8</w:t>
      </w:r>
      <w:r>
        <w:rPr>
          <w:rFonts w:ascii="Times New Roman" w:hAnsi="Times New Roman"/>
          <w:b/>
          <w:i w:val="false"/>
          <w:color w:val="000000"/>
          <w:sz w:val="22"/>
        </w:rPr>
        <w:t xml:space="preserve">(75GA,ch1201) </w:t>
      </w:r>
      <w:r>
        <w:rPr>
          <w:rFonts w:ascii="Times New Roman" w:hAnsi="Times New Roman"/>
          <w:b/>
          <w:i w:val="false"/>
          <w:color w:val="000000"/>
          <w:sz w:val="22"/>
        </w:rPr>
        <w:t xml:space="preserve">Financial management.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4/6/11</w:t>
      </w:r>
      <w:r>
        <w:rPr>
          <w:rFonts w:ascii="Times New Roman" w:hAnsi="Times New Roman"/>
          <w:b w:val="false"/>
          <w:i w:val="false"/>
          <w:color w:val="000000"/>
          <w:sz w:val="22"/>
        </w:rPr>
        <w:t>, effective 5/11/11.</w:t>
      </w:r>
    </w:p>
    <w:p>
      <w:pPr>
        <w:spacing w:before="0" w:after="0"/>
        <w:ind w:left="120"/>
        <w:jc w:val="both"/>
      </w:pPr>
      <w:r>
        <w:rPr>
          <w:rFonts w:ascii="Times New Roman" w:hAnsi="Times New Roman"/>
          <w:b/>
          <w:i w:val="false"/>
          <w:color w:val="000000"/>
          <w:sz w:val="22"/>
        </w:rPr>
        <w:t>261—39.9</w:t>
      </w:r>
      <w:r>
        <w:rPr>
          <w:rFonts w:ascii="Times New Roman" w:hAnsi="Times New Roman"/>
          <w:b/>
          <w:i w:val="false"/>
          <w:color w:val="000000"/>
          <w:sz w:val="22"/>
        </w:rPr>
        <w:t xml:space="preserve">(15) </w:t>
      </w:r>
      <w:r>
        <w:rPr>
          <w:rFonts w:ascii="Times New Roman" w:hAnsi="Times New Roman"/>
          <w:b/>
          <w:i w:val="false"/>
          <w:color w:val="000000"/>
          <w:sz w:val="22"/>
        </w:rPr>
        <w:t xml:space="preserve">Reports. </w:t>
      </w:r>
      <w:r>
        <w:rPr>
          <w:rFonts w:ascii="Times New Roman" w:hAnsi="Times New Roman"/>
          <w:b w:val="false"/>
          <w:i w:val="false"/>
          <w:color w:val="000000"/>
          <w:sz w:val="22"/>
        </w:rPr>
        <w:t>Participating main street communities shall submit performance reports to the authority as required. The reports shall document the progress of the program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2748C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261—39.10</w:t>
      </w:r>
      <w:r>
        <w:rPr>
          <w:rFonts w:ascii="Times New Roman" w:hAnsi="Times New Roman"/>
          <w:b/>
          <w:i w:val="false"/>
          <w:color w:val="000000"/>
          <w:sz w:val="22"/>
        </w:rPr>
        <w:t xml:space="preserve">(15) </w:t>
      </w:r>
      <w:r>
        <w:rPr>
          <w:rFonts w:ascii="Times New Roman" w:hAnsi="Times New Roman"/>
          <w:b/>
          <w:i w:val="false"/>
          <w:color w:val="000000"/>
          <w:sz w:val="22"/>
        </w:rPr>
        <w:t xml:space="preserve">Noncompliance. </w:t>
      </w:r>
      <w:r>
        <w:rPr>
          <w:rFonts w:ascii="Times New Roman" w:hAnsi="Times New Roman"/>
          <w:b w:val="false"/>
          <w:i w:val="false"/>
          <w:color w:val="000000"/>
          <w:sz w:val="22"/>
        </w:rPr>
        <w:t>If the authority finds that a participating main street community is not in compliance with the requirements under this program or the terms of the program agreement, the authority shall terminate the program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2748C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261—39.11</w:t>
      </w:r>
      <w:r>
        <w:rPr>
          <w:rFonts w:ascii="Times New Roman" w:hAnsi="Times New Roman"/>
          <w:b/>
          <w:i w:val="false"/>
          <w:color w:val="000000"/>
          <w:sz w:val="22"/>
        </w:rPr>
        <w:t xml:space="preserve">(15)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forms will be used by the administering agency for the main street program.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form for the Iowa main street program (Form 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Performance reports for monitoring the performance of each grantee (Form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9455B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15.108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12/13/85—published 1/1/86, effective 12/13/85]</w:t>
      </w:r>
    </w:p>
    <w:p>
      <w:pPr>
        <w:spacing w:before="0" w:after="0"/>
        <w:ind w:left="120"/>
        <w:jc w:val="center"/>
      </w:pPr>
      <w:r>
        <w:rPr>
          <w:rFonts w:ascii="Times New Roman" w:hAnsi="Times New Roman"/>
          <w:b w:val="false"/>
          <w:i w:val="false"/>
          <w:color w:val="000000"/>
          <w:sz w:val="21"/>
        </w:rPr>
        <w:t>[Filed 4/30/86, Notice 1/1/86—published 5/21/86, effective 6/25/86]</w:t>
      </w:r>
    </w:p>
    <w:p>
      <w:pPr>
        <w:spacing w:before="0" w:after="0"/>
        <w:ind w:left="120"/>
        <w:jc w:val="center"/>
      </w:pPr>
      <w:r>
        <w:rPr>
          <w:rFonts w:ascii="Times New Roman" w:hAnsi="Times New Roman"/>
          <w:b w:val="false"/>
          <w:i w:val="false"/>
          <w:color w:val="000000"/>
          <w:sz w:val="21"/>
        </w:rPr>
        <w:t>[Filed emergency 12/19/86—published 1/14/87, effective 12/19/86]</w:t>
      </w:r>
    </w:p>
    <w:p>
      <w:pPr>
        <w:spacing w:before="0" w:after="0"/>
        <w:ind w:left="120"/>
        <w:jc w:val="center"/>
      </w:pPr>
      <w:r>
        <w:rPr>
          <w:rFonts w:ascii="Times New Roman" w:hAnsi="Times New Roman"/>
          <w:b w:val="false"/>
          <w:i w:val="false"/>
          <w:color w:val="000000"/>
          <w:sz w:val="21"/>
        </w:rPr>
        <w:t>[Filed 10/27/89, Notice 9/6/89—published 11/15/89, effective 12/20/89]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11/20/90, Notice 8/8/90—published 12/12/90, effective 1/16/91]</w:t>
      </w:r>
    </w:p>
    <w:p>
      <w:pPr>
        <w:spacing w:before="0" w:after="0"/>
        <w:ind w:left="120"/>
        <w:jc w:val="center"/>
      </w:pPr>
      <w:r>
        <w:rPr>
          <w:rFonts w:ascii="Times New Roman" w:hAnsi="Times New Roman"/>
          <w:b w:val="false"/>
          <w:i w:val="false"/>
          <w:color w:val="000000"/>
          <w:sz w:val="21"/>
        </w:rPr>
        <w:t>[Filed 12/16/94, Notice 11/9/94—published 1/4/95, effective 2/22/95]</w:t>
      </w:r>
    </w:p>
    <w:p>
      <w:pPr>
        <w:spacing w:before="0" w:after="0"/>
        <w:ind w:left="120"/>
        <w:jc w:val="center"/>
      </w:pPr>
      <w:r>
        <w:rPr>
          <w:rFonts w:ascii="Times New Roman" w:hAnsi="Times New Roman"/>
          <w:b w:val="false"/>
          <w:i w:val="false"/>
          <w:color w:val="000000"/>
          <w:sz w:val="21"/>
        </w:rPr>
        <w:t>[Filed ARC 9455B</w:t>
      </w:r>
      <w:r>
        <w:rPr>
          <w:rFonts w:ascii="Times New Roman" w:hAnsi="Times New Roman"/>
          <w:b w:val="false"/>
          <w:i w:val="false"/>
          <w:color w:val="000000"/>
          <w:sz w:val="21"/>
        </w:rPr>
        <w:t xml:space="preserve"> (Notice ARC 9336B, IAB 1/12/11)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2748C</w:t>
      </w:r>
      <w:r>
        <w:rPr>
          <w:rFonts w:ascii="Times New Roman" w:hAnsi="Times New Roman"/>
          <w:b w:val="false"/>
          <w:i w:val="false"/>
          <w:color w:val="000000"/>
          <w:sz w:val="21"/>
        </w:rPr>
        <w:t xml:space="preserve"> (Notice ARC 2653C, IAB 8/3/16)</w:t>
      </w:r>
      <w:r>
        <w:rPr>
          <w:rFonts w:ascii="Times New Roman" w:hAnsi="Times New Roman"/>
          <w:b w:val="false"/>
          <w:i w:val="false"/>
          <w:color w:val="000000"/>
          <w:sz w:val="21"/>
        </w:rPr>
        <w:t>, IAB 10/12/16, effective 11/16/16]</w:t>
      </w:r>
    </w:p>
    <w:p>
      <w:pPr>
        <w:pBdr>
          <w:bottom w:space="2"/>
        </w:pBdr>
        <w:spacing w:before="0" w:after="0"/>
        <w:ind w:left="120"/>
        <w:jc w:val="both"/>
      </w:pPr>
      <w:r>
        <w:rPr>
          <w:rFonts w:ascii="Times New Roman" w:hAnsi="Times New Roman"/>
          <w:b w:val="false"/>
          <w:i w:val="false"/>
          <w:color w:val="000000"/>
          <w:sz w:val="22"/>
        </w:rPr>
        <w:t>History transferred from 261—Chapter 42 IAC 1/4/95.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