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DOWNTOWN LOAN GUARANTEE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261—36.1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15.431</w:t>
        </w:r>
      </w:hyperlink>
      <w:r>
        <w:rPr>
          <w:rFonts w:ascii="Times New Roman" w:hAnsi="Times New Roman"/>
          <w:b w:val="false"/>
          <w:i w:val="false"/>
          <w:color w:val="000000"/>
          <w:sz w:val="22"/>
        </w:rPr>
        <w:t>, the authority, in partnership with the Iowa finance authority, shall establish and administer a downtown loan guarantee program. The purpose of the program is to encourage Iowa downtown businesses and banks to reinvest and reopen following the COVID-19 pandemic.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7">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“Borrower” </w:t>
      </w:r>
      <w:r>
        <w:rPr>
          <w:rFonts w:ascii="Times New Roman" w:hAnsi="Times New Roman"/>
          <w:b w:val="false"/>
          <w:i w:val="false"/>
          <w:color w:val="000000"/>
          <w:sz w:val="22"/>
        </w:rPr>
        <w:t>means a business that is approved for a loan by a lender and that has applied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finance authority” </w:t>
      </w:r>
      <w:r>
        <w:rPr>
          <w:rFonts w:ascii="Times New Roman" w:hAnsi="Times New Roman"/>
          <w:b w:val="false"/>
          <w:i w:val="false"/>
          <w:color w:val="000000"/>
          <w:sz w:val="22"/>
        </w:rPr>
        <w:t xml:space="preserve">means the public instrumentality and agency of the state created by Iowa Code section </w:t>
      </w:r>
      <w:hyperlink r:id="rId9">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“Lender” </w:t>
      </w:r>
      <w:r>
        <w:rPr>
          <w:rFonts w:ascii="Times New Roman" w:hAnsi="Times New Roman"/>
          <w:b w:val="false"/>
          <w:i w:val="false"/>
          <w:color w:val="000000"/>
          <w:sz w:val="22"/>
        </w:rPr>
        <w:t>means a federally insured financial lending institution that issued a loan to a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downtown loan guarantee program established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approval of a loan guarantee, a borrower must demonstrate that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The loan finances an eligible downtown resource center community catalyst building remediation grant project or main street Iowa challenge grant project within a designated district. A borrower does not need to receive a grant to be eligible for a loan guarantee under the program, but a borrower and proposed project must meet all eligibility criteria for either the community catalyst building remediation grant or main street Iowa challenge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The loan finances a rehabilitation project, or finances acquisition or refinancing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At least 25 percent of the project costs are used for construction on the project or renovation.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The project includes a housing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The loan is used for construction of the project, permanent financing of the project,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val="false"/>
          <w:color w:val="000000"/>
          <w:sz w:val="22"/>
        </w:rPr>
        <w:t>A federally insured financial lending institution issued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val="false"/>
          <w:color w:val="000000"/>
          <w:sz w:val="22"/>
        </w:rPr>
        <w:t>The loan does not reimburse the borrower for working capital, operations, or similar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36.3(8)</w:t>
      </w:r>
      <w:r>
        <w:rPr>
          <w:rFonts w:ascii="Times New Roman" w:hAnsi="Times New Roman"/>
          <w:b w:val="false"/>
          <w:i w:val="false"/>
          <w:color w:val="000000"/>
          <w:sz w:val="22"/>
        </w:rPr>
        <w:t> </w:t>
      </w:r>
      <w:r>
        <w:rPr>
          <w:rFonts w:ascii="Times New Roman" w:hAnsi="Times New Roman"/>
          <w:b w:val="false"/>
          <w:i w:val="false"/>
          <w:color w:val="000000"/>
          <w:sz w:val="22"/>
        </w:rPr>
        <w:t>The project meets downtown resource center and main street Iowa design review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val="false"/>
          <w:color w:val="000000"/>
          <w:sz w:val="22"/>
        </w:rPr>
        <w:t>The authority will develop a standardized application process and make information on applying available on the authority’s website. To apply for assistance under the program, the borrower and lender shall submit an application to the authority in the manner prescribed by the authority. Applications will be accepted and processed by authority staff on a continuing basis, or the authority may establish application periods as announced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at a minimum, the following: name(s) and address(es) of the borrower and participating lender, amount of loan, amount of loan guarantee requested, and certification of compliance with state law and lending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36.4(4)</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36.4(5)</w:t>
      </w:r>
      <w:r>
        <w:rPr>
          <w:rFonts w:ascii="Times New Roman" w:hAnsi="Times New Roman"/>
          <w:b w:val="false"/>
          <w:i w:val="false"/>
          <w:color w:val="000000"/>
          <w:sz w:val="22"/>
        </w:rPr>
        <w:t> </w:t>
      </w:r>
      <w:r>
        <w:rPr>
          <w:rFonts w:ascii="Times New Roman" w:hAnsi="Times New Roman"/>
          <w:b w:val="false"/>
          <w:i w:val="false"/>
          <w:color w:val="000000"/>
          <w:sz w:val="22"/>
        </w:rPr>
        <w:t>Authority staff, in conjunction with Iowa finance authority staff, will review applications and make a recommendation as to whether an application should be approved and the guarantee percentage. The director may approve, deny, or defer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36.4(6)</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deny a loan guarantee for unreasonable bank loan fees or interest rates.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261—36.5</w:t>
      </w:r>
      <w:r>
        <w:rPr>
          <w:rFonts w:ascii="Times New Roman" w:hAnsi="Times New Roman"/>
          <w:b/>
          <w:i w:val="false"/>
          <w:color w:val="000000"/>
          <w:sz w:val="22"/>
        </w:rPr>
        <w:t xml:space="preserve">(15) </w:t>
      </w:r>
      <w:r>
        <w:rPr>
          <w:rFonts w:ascii="Times New Roman" w:hAnsi="Times New Roman"/>
          <w:b/>
          <w:i w:val="false"/>
          <w:color w:val="000000"/>
          <w:sz w:val="22"/>
        </w:rPr>
        <w:t xml:space="preserve">Loan guarantee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val="false"/>
          <w:color w:val="000000"/>
          <w:sz w:val="22"/>
        </w:rPr>
        <w:t>For a loan amount less than or equal to $500,000, the authority may guarantee up to 50 percent of the loan amount. For a loan amount greater than $500,000, the authority may provide a maximum loan guarantee of up to $250,000.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val="false"/>
          <w:color w:val="000000"/>
          <w:sz w:val="22"/>
        </w:rPr>
        <w:t>A project loan must be secured by a mortgage against the project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val="false"/>
          <w:color w:val="000000"/>
          <w:sz w:val="22"/>
        </w:rPr>
        <w:t>The authority may guarantee loans for up to five years. The authority may extend the loan guarantee for an additional five years if an underwriting review finds that an extension would be beneficial. Extensions are subject to approval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val="false"/>
          <w:color w:val="000000"/>
          <w:sz w:val="22"/>
        </w:rPr>
        <w:t>The loan must not be insured or guaranteed by another local, state, or federal guarantee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w:t>
      </w:r>
      <w:r>
        <w:rPr>
          <w:rFonts w:ascii="Times New Roman" w:hAnsi="Times New Roman"/>
          <w:b w:val="false"/>
          <w:i w:val="false"/>
          <w:color w:val="000000"/>
          <w:sz w:val="22"/>
        </w:rPr>
        <w:t> </w:t>
      </w:r>
      <w:r>
        <w:rPr>
          <w:rFonts w:ascii="Times New Roman" w:hAnsi="Times New Roman"/>
          <w:b w:val="false"/>
          <w:i w:val="false"/>
          <w:color w:val="000000"/>
          <w:sz w:val="22"/>
        </w:rPr>
        <w:t>The loan guarantee is not transferable if the loan or the project is sold or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 loss due to default, the loan guarantee proportionally pays the guarantee percentage of the loss to the lender as established in the agreement executed pursuant to rule </w:t>
      </w:r>
      <w:hyperlink r:id="rId10">
        <w:r>
          <w:rPr>
            <w:rStyle w:val="Hyperlink"/>
            <w:rFonts w:ascii="Times New Roman" w:hAnsi="Times New Roman"/>
            <w:b w:val="false"/>
            <w:i w:val="false"/>
            <w:color w:val="000000"/>
            <w:sz w:val="22"/>
          </w:rPr>
          <w:t>261—36.7</w:t>
        </w:r>
      </w:hyperlink>
      <w:r>
        <w:rPr>
          <w:rFonts w:ascii="Times New Roman" w:hAnsi="Times New Roman"/>
          <w:b w:val="false"/>
          <w:i w:val="false"/>
          <w:color w:val="000000"/>
          <w:sz w:val="22"/>
        </w:rPr>
        <w:t>(15).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261—36.6</w:t>
      </w:r>
      <w:r>
        <w:rPr>
          <w:rFonts w:ascii="Times New Roman" w:hAnsi="Times New Roman"/>
          <w:b/>
          <w:i w:val="false"/>
          <w:color w:val="000000"/>
          <w:sz w:val="22"/>
        </w:rPr>
        <w:t xml:space="preserve">(15) </w:t>
      </w:r>
      <w:r>
        <w:rPr>
          <w:rFonts w:ascii="Times New Roman" w:hAnsi="Times New Roman"/>
          <w:b/>
          <w:i w:val="false"/>
          <w:color w:val="000000"/>
          <w:sz w:val="22"/>
        </w:rPr>
        <w:t xml:space="preserve">Annual fee. </w:t>
      </w:r>
      <w:r>
        <w:rPr>
          <w:rFonts w:ascii="Times New Roman" w:hAnsi="Times New Roman"/>
          <w:b w:val="false"/>
          <w:i w:val="false"/>
          <w:color w:val="000000"/>
          <w:sz w:val="22"/>
        </w:rPr>
        <w:t xml:space="preserve">The lender shall pay an annual loan guarantee fee not to exceed 2 percent of the loan amount for the duration of the loan guarantee. The fee applicable to each approved loan guarantee will be established by the program agreement executed pursuant to rule </w:t>
      </w:r>
      <w:hyperlink r:id="rId11">
        <w:r>
          <w:rPr>
            <w:rStyle w:val="Hyperlink"/>
            <w:rFonts w:ascii="Times New Roman" w:hAnsi="Times New Roman"/>
            <w:b w:val="false"/>
            <w:i w:val="false"/>
            <w:color w:val="000000"/>
            <w:sz w:val="22"/>
          </w:rPr>
          <w:t>261—36.7</w:t>
        </w:r>
      </w:hyperlink>
      <w:r>
        <w:rPr>
          <w:rFonts w:ascii="Times New Roman" w:hAnsi="Times New Roman"/>
          <w:b w:val="false"/>
          <w:i w:val="false"/>
          <w:color w:val="000000"/>
          <w:sz w:val="22"/>
        </w:rPr>
        <w:t>(15).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261—36.7</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w:t>
      </w:r>
      <w:r>
        <w:rPr>
          <w:rFonts w:ascii="Times New Roman" w:hAnsi="Times New Roman"/>
          <w:b w:val="false"/>
          <w:i w:val="false"/>
          <w:color w:val="000000"/>
          <w:sz w:val="22"/>
        </w:rPr>
        <w:t xml:space="preserve">Upon approval of an award, authority staff shall prepare an agreement between the authority, the lender, and the borrower. The agreement, at a minimum, shall include the conditions of the award, including the applicable annual fee to be paid by the lender pursuant to rule </w:t>
      </w:r>
      <w:hyperlink r:id="rId12">
        <w:r>
          <w:rPr>
            <w:rStyle w:val="Hyperlink"/>
            <w:rFonts w:ascii="Times New Roman" w:hAnsi="Times New Roman"/>
            <w:b w:val="false"/>
            <w:i w:val="false"/>
            <w:color w:val="000000"/>
            <w:sz w:val="22"/>
          </w:rPr>
          <w:t>261—36.6</w:t>
        </w:r>
      </w:hyperlink>
      <w:r>
        <w:rPr>
          <w:rFonts w:ascii="Times New Roman" w:hAnsi="Times New Roman"/>
          <w:b w:val="false"/>
          <w:i w:val="false"/>
          <w:color w:val="000000"/>
          <w:sz w:val="22"/>
        </w:rPr>
        <w:t>(15), the responsibilities of each party, and the potential actions in instances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261—36.8</w:t>
      </w:r>
      <w:r>
        <w:rPr>
          <w:rFonts w:ascii="Times New Roman" w:hAnsi="Times New Roman"/>
          <w:b/>
          <w:i w:val="false"/>
          <w:color w:val="000000"/>
          <w:sz w:val="22"/>
        </w:rPr>
        <w:t xml:space="preserve">(15) </w:t>
      </w:r>
      <w:r>
        <w:rPr>
          <w:rFonts w:ascii="Times New Roman" w:hAnsi="Times New Roman"/>
          <w:b/>
          <w:i w:val="false"/>
          <w:color w:val="000000"/>
          <w:sz w:val="22"/>
        </w:rPr>
        <w:t xml:space="preserve">Reporting. </w:t>
      </w:r>
      <w:r>
        <w:rPr>
          <w:rFonts w:ascii="Times New Roman" w:hAnsi="Times New Roman"/>
          <w:b w:val="false"/>
          <w:i w:val="false"/>
          <w:color w:val="000000"/>
          <w:sz w:val="22"/>
        </w:rPr>
        <w:t>The borrower and lender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6134C</w:t>
      </w:r>
      <w:r>
        <w:rPr>
          <w:rFonts w:ascii="Times New Roman" w:hAnsi="Times New Roman"/>
          <w:b w:val="false"/>
          <w:i w:val="false"/>
          <w:color w:val="000000"/>
          <w:sz w:val="16"/>
        </w:rPr>
        <w:t>, IAB 1/12/22, effective 12/17/21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15.431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6134C</w:t>
      </w:r>
      <w:r>
        <w:rPr>
          <w:rFonts w:ascii="Times New Roman" w:hAnsi="Times New Roman"/>
          <w:b w:val="false"/>
          <w:i w:val="false"/>
          <w:color w:val="000000"/>
          <w:sz w:val="21"/>
        </w:rPr>
        <w:t xml:space="preserve"> (Notice ARC 5984C, IAB 10/20/21)</w:t>
      </w:r>
      <w:r>
        <w:rPr>
          <w:rFonts w:ascii="Times New Roman" w:hAnsi="Times New Roman"/>
          <w:b w:val="false"/>
          <w:i w:val="false"/>
          <w:color w:val="000000"/>
          <w:sz w:val="21"/>
        </w:rPr>
        <w:t>, IAB 1/12/22, effective 12/17/21]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31.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iowaeda.com/"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6.1A.pdf" Type="http://schemas.openxmlformats.org/officeDocument/2006/relationships/hyperlink" Id="rId9"/>
    <Relationship TargetMode="External" Target="https://www.legis.iowa.gov/docs/iac/rule/261.36.7.pdf" Type="http://schemas.openxmlformats.org/officeDocument/2006/relationships/hyperlink" Id="rId10"/>
    <Relationship TargetMode="External" Target="https://www.legis.iowa.gov/docs/iac/rule/261.36.7.pdf" Type="http://schemas.openxmlformats.org/officeDocument/2006/relationships/hyperlink" Id="rId11"/>
    <Relationship TargetMode="External" Target="https://www.legis.iowa.gov/docs/iac/rule/261.36.6.pdf" Type="http://schemas.openxmlformats.org/officeDocument/2006/relationships/hyperlink" Id="rId12"/>
    <Relationship TargetMode="External" Target="https://www.legis.iowa.gov/docs/ico/chapter/15.43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