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BROADBAND FORWARD AND TELECOMMUTER FORWARD CERTIFICATIONS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261—24.1</w:t>
      </w:r>
      <w:r>
        <w:rPr>
          <w:rFonts w:ascii="Times New Roman" w:hAnsi="Times New Roman"/>
          <w:b/>
          <w:i w:val="false"/>
          <w:color w:val="000000"/>
          <w:sz w:val="22"/>
        </w:rPr>
        <w:t xml:space="preserve">(15E)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establishing this program is provided in Iowa Code section </w:t>
      </w:r>
      <w:hyperlink r:id="rId5">
        <w:r>
          <w:rPr>
            <w:rStyle w:val="Hyperlink"/>
            <w:rFonts w:ascii="Times New Roman" w:hAnsi="Times New Roman"/>
            <w:b w:val="false"/>
            <w:i w:val="false"/>
            <w:color w:val="000000"/>
            <w:sz w:val="22"/>
          </w:rPr>
          <w:t>15E.167</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2021 Iowa Acts, House File 871</w:t>
      </w:r>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6085C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261—24.2</w:t>
      </w:r>
      <w:r>
        <w:rPr>
          <w:rFonts w:ascii="Times New Roman" w:hAnsi="Times New Roman"/>
          <w:b/>
          <w:i w:val="false"/>
          <w:color w:val="000000"/>
          <w:sz w:val="22"/>
        </w:rPr>
        <w:t xml:space="preserve">(15E) </w:t>
      </w:r>
      <w:r>
        <w:rPr>
          <w:rFonts w:ascii="Times New Roman" w:hAnsi="Times New Roman"/>
          <w:b/>
          <w:i w:val="false"/>
          <w:color w:val="000000"/>
          <w:sz w:val="22"/>
        </w:rPr>
        <w:t xml:space="preserve">Purposes. </w:t>
      </w:r>
      <w:r>
        <w:rPr>
          <w:rFonts w:ascii="Times New Roman" w:hAnsi="Times New Roman"/>
          <w:b w:val="false"/>
          <w:i w:val="false"/>
          <w:color w:val="000000"/>
          <w:sz w:val="22"/>
        </w:rPr>
        <w:t>The purpose of the broadband forward certification is to encourage political subdivisions to further develop broadband infrastructure and access to broadband. The purpose of the telecommuter forward certification is to encourage political subdivisions to further develop and promote the availability of telecommuting.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6085C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261—24.3</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 political subdivision that submits an application to the authority for a broadband forward certification or telecommuter forward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“Broadband”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“Broadband infrastructure”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means a certificate issued to a political subdivision that meets the criteria in rule </w:t>
      </w:r>
      <w:hyperlink r:id="rId9">
        <w:r>
          <w:rPr>
            <w:rStyle w:val="Hyperlink"/>
            <w:rFonts w:ascii="Times New Roman" w:hAnsi="Times New Roman"/>
            <w:b w:val="false"/>
            <w:i w:val="false"/>
            <w:color w:val="000000"/>
            <w:sz w:val="22"/>
          </w:rPr>
          <w:t>261—24.5</w:t>
        </w:r>
      </w:hyperlink>
      <w:r>
        <w:rPr>
          <w:rFonts w:ascii="Times New Roman" w:hAnsi="Times New Roman"/>
          <w:b w:val="false"/>
          <w:i w:val="false"/>
          <w:color w:val="000000"/>
          <w:sz w:val="22"/>
        </w:rPr>
        <w:t xml:space="preserve">(15E) or </w:t>
      </w:r>
      <w:hyperlink r:id="rId10">
        <w:r>
          <w:rPr>
            <w:rStyle w:val="Hyperlink"/>
            <w:rFonts w:ascii="Times New Roman" w:hAnsi="Times New Roman"/>
            <w:b w:val="false"/>
            <w:i w:val="false"/>
            <w:color w:val="000000"/>
            <w:sz w:val="22"/>
          </w:rPr>
          <w:t>261—24.6</w:t>
        </w:r>
      </w:hyperlink>
      <w:r>
        <w:rPr>
          <w:rFonts w:ascii="Times New Roman" w:hAnsi="Times New Roman"/>
          <w:b w:val="false"/>
          <w:i w:val="false"/>
          <w:color w:val="000000"/>
          <w:sz w:val="22"/>
        </w:rPr>
        <w:t>(15E).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“Communications service provider” </w:t>
      </w:r>
      <w:r>
        <w:rPr>
          <w:rFonts w:ascii="Times New Roman" w:hAnsi="Times New Roman"/>
          <w:b w:val="false"/>
          <w:i w:val="false"/>
          <w:color w:val="000000"/>
          <w:sz w:val="22"/>
        </w:rPr>
        <w:t>means a service provider that provides broadband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means a city, county, or township.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broadband forward and telecommuter forward certification program established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6085C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261—24.4</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review;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authority will develop a standardized application process and make information on applying available on the authority’s website at </w:t>
      </w:r>
      <w:hyperlink r:id="rId11">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 xml:space="preserve">. To apply for certification under the program, a political subdivision shall submit an application to the authority in the form and manner prescribed by the authority. A political subdivision may apply for broadband forward certification and telecommuter forward certification concurrently.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 xml:space="preserve">The authority will review each complete application to determine whether an applicant meets the criteria in rule </w:t>
      </w:r>
      <w:hyperlink r:id="rId12">
        <w:r>
          <w:rPr>
            <w:rStyle w:val="Hyperlink"/>
            <w:rFonts w:ascii="Times New Roman" w:hAnsi="Times New Roman"/>
            <w:b w:val="false"/>
            <w:i w:val="false"/>
            <w:color w:val="000000"/>
            <w:sz w:val="22"/>
          </w:rPr>
          <w:t>261—24.5</w:t>
        </w:r>
      </w:hyperlink>
      <w:r>
        <w:rPr>
          <w:rFonts w:ascii="Times New Roman" w:hAnsi="Times New Roman"/>
          <w:b w:val="false"/>
          <w:i w:val="false"/>
          <w:color w:val="000000"/>
          <w:sz w:val="22"/>
        </w:rPr>
        <w:t xml:space="preserve">(15E) or </w:t>
      </w:r>
      <w:hyperlink r:id="rId13">
        <w:r>
          <w:rPr>
            <w:rStyle w:val="Hyperlink"/>
            <w:rFonts w:ascii="Times New Roman" w:hAnsi="Times New Roman"/>
            <w:b w:val="false"/>
            <w:i w:val="false"/>
            <w:color w:val="000000"/>
            <w:sz w:val="22"/>
          </w:rPr>
          <w:t>261—24.6</w:t>
        </w:r>
      </w:hyperlink>
      <w:r>
        <w:rPr>
          <w:rFonts w:ascii="Times New Roman" w:hAnsi="Times New Roman"/>
          <w:b w:val="false"/>
          <w:i w:val="false"/>
          <w:color w:val="000000"/>
          <w:sz w:val="22"/>
        </w:rPr>
        <w:t>(15E).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The authority may approve, deny or defer applications for certification. If the authority approves an application for certification, the authority will issue a broadband forward or telecommuter forward certificate and assist the political subdivision in publicizing its certification.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6085C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261—24.5</w:t>
      </w:r>
      <w:r>
        <w:rPr>
          <w:rFonts w:ascii="Times New Roman" w:hAnsi="Times New Roman"/>
          <w:b/>
          <w:i w:val="false"/>
          <w:color w:val="000000"/>
          <w:sz w:val="22"/>
        </w:rPr>
        <w:t xml:space="preserve">(15E) </w:t>
      </w:r>
      <w:r>
        <w:rPr>
          <w:rFonts w:ascii="Times New Roman" w:hAnsi="Times New Roman"/>
          <w:b/>
          <w:i w:val="false"/>
          <w:color w:val="000000"/>
          <w:sz w:val="22"/>
        </w:rPr>
        <w:t xml:space="preserve">Broadband forward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To obtain broadband forward certification, a political subdivision shall submit to the authority an application indicating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political subdivision’s support and commitment to promote the availability of broadband.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Existing or proposed ordinances encouraging the further development of broadband infrastructure and access to broadband.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Efforts to secure local funding for the further development of broadband infrastructure and access to broadband.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single point of contact for the political subdivision for all matters related to broadband and broadband infrastructure.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24.5(2)</w:t>
      </w:r>
      <w:r>
        <w:rPr>
          <w:rFonts w:ascii="Times New Roman" w:hAnsi="Times New Roman"/>
          <w:b w:val="false"/>
          <w:i w:val="false"/>
          <w:color w:val="000000"/>
          <w:sz w:val="22"/>
        </w:rPr>
        <w:t> </w:t>
      </w:r>
      <w:r>
        <w:rPr>
          <w:rFonts w:ascii="Times New Roman" w:hAnsi="Times New Roman"/>
          <w:b w:val="false"/>
          <w:i/>
          <w:color w:val="000000"/>
          <w:sz w:val="22"/>
        </w:rPr>
        <w:t xml:space="preserve">Single point of contact. </w:t>
      </w:r>
      <w:r>
        <w:rPr>
          <w:rFonts w:ascii="Times New Roman" w:hAnsi="Times New Roman"/>
          <w:b w:val="false"/>
          <w:i w:val="false"/>
          <w:color w:val="000000"/>
          <w:sz w:val="22"/>
        </w:rPr>
        <w:t xml:space="preserve">The single point of contact designated pursuant to </w:t>
      </w:r>
      <w:hyperlink r:id="rId14">
        <w:r>
          <w:rPr>
            <w:rStyle w:val="Hyperlink"/>
            <w:rFonts w:ascii="Times New Roman" w:hAnsi="Times New Roman"/>
            <w:b w:val="false"/>
            <w:i w:val="false"/>
            <w:color w:val="000000"/>
            <w:sz w:val="22"/>
          </w:rPr>
          <w:t>paragraph 24.5(1)</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be responsible for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Coordination and partnership with the authority, communications service providers, realtors, economic development professionals, employers, employees, and other broadband stakeholders.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Collaboration with the authority, communications service providers, and employers to identify, develop, and market broadband packages available in the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Familiarity with broadband mapping tools and other state-level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Maintaining regular communication with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to the political subdivision regular reports regarding the availability of broadband in the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 xml:space="preserve">The authority will evaluate whether the applicant demonstrates that its efforts or proposed efforts to develop broadband infrastructure and access to broadband will have a sufficient impact that warrants certification.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6085C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261—24.6</w:t>
      </w:r>
      <w:r>
        <w:rPr>
          <w:rFonts w:ascii="Times New Roman" w:hAnsi="Times New Roman"/>
          <w:b/>
          <w:i w:val="false"/>
          <w:color w:val="000000"/>
          <w:sz w:val="22"/>
        </w:rPr>
        <w:t xml:space="preserve">(15E) </w:t>
      </w:r>
      <w:r>
        <w:rPr>
          <w:rFonts w:ascii="Times New Roman" w:hAnsi="Times New Roman"/>
          <w:b/>
          <w:i w:val="false"/>
          <w:color w:val="000000"/>
          <w:sz w:val="22"/>
        </w:rPr>
        <w:t xml:space="preserve">Telecommuter forward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24.6(1)</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political subdivision that meets the criteria for broadband forward certification in rule </w:t>
      </w:r>
      <w:hyperlink r:id="rId15">
        <w:r>
          <w:rPr>
            <w:rStyle w:val="Hyperlink"/>
            <w:rFonts w:ascii="Times New Roman" w:hAnsi="Times New Roman"/>
            <w:b w:val="false"/>
            <w:i w:val="false"/>
            <w:color w:val="000000"/>
            <w:sz w:val="22"/>
          </w:rPr>
          <w:t>261—24.5</w:t>
        </w:r>
      </w:hyperlink>
      <w:r>
        <w:rPr>
          <w:rFonts w:ascii="Times New Roman" w:hAnsi="Times New Roman"/>
          <w:b w:val="false"/>
          <w:i w:val="false"/>
          <w:color w:val="000000"/>
          <w:sz w:val="22"/>
        </w:rPr>
        <w:t>(15E) may apply for telecommuter forward certification. To obtain telecommuter forward certification, a political subdivision shall submit to the authority an application indicating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political subdivision’s support and commitment to promote the availability of telecommuting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Existing or proposed ordinances encouraging the further development of telecommuting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Efforts to secure local funding for the further development of telecommuting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single point of contact for coordinating telecommuting opportunities and options.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single point of contact designated pursuant to </w:t>
      </w:r>
      <w:hyperlink r:id="rId16">
        <w:r>
          <w:rPr>
            <w:rStyle w:val="Hyperlink"/>
            <w:rFonts w:ascii="Times New Roman" w:hAnsi="Times New Roman"/>
            <w:b w:val="false"/>
            <w:i w:val="false"/>
            <w:color w:val="000000"/>
            <w:sz w:val="22"/>
          </w:rPr>
          <w:t>paragraph 24.6(1)</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be responsible for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Coordination and partnership with the authority, communications service providers, realtors, economic development professionals, employers, employees, and other telecommuting stakeholders.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Collaboration with the authority, communications service providers, and employers to identify, develop, and market telecommuter-capable broadband packages available in the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Promotion of telecommuter-friendly workspaces, such as business incubators with telecommuting spaces, if such a workspace has been established in the political subdivision at the time the political subdivision submits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Familiarity with broadband mapping tools and other state-level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Maintaining regular communication with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Providing to the political subdivision regular reports regarding the availability of telecommuting options in the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24.6(3)</w:t>
      </w:r>
      <w:r>
        <w:rPr>
          <w:rFonts w:ascii="Times New Roman" w:hAnsi="Times New Roman"/>
          <w:b w:val="false"/>
          <w:i w:val="false"/>
          <w:color w:val="000000"/>
          <w:sz w:val="22"/>
        </w:rPr>
        <w:t> </w:t>
      </w:r>
      <w:r>
        <w:rPr>
          <w:rFonts w:ascii="Times New Roman" w:hAnsi="Times New Roman"/>
          <w:b w:val="false"/>
          <w:i w:val="false"/>
          <w:color w:val="000000"/>
          <w:sz w:val="22"/>
        </w:rPr>
        <w:t>The authority will evaluate whether the applicant demonstrates that its efforts or proposed efforts to further develop and promote the availability of telecommuting will have a sufficient impact that warrants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6085C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261—24.7</w:t>
      </w:r>
      <w:r>
        <w:rPr>
          <w:rFonts w:ascii="Times New Roman" w:hAnsi="Times New Roman"/>
          <w:b/>
          <w:i w:val="false"/>
          <w:color w:val="000000"/>
          <w:sz w:val="22"/>
        </w:rPr>
        <w:t xml:space="preserve">(15E) </w:t>
      </w:r>
      <w:r>
        <w:rPr>
          <w:rFonts w:ascii="Times New Roman" w:hAnsi="Times New Roman"/>
          <w:b/>
          <w:i w:val="false"/>
          <w:color w:val="000000"/>
          <w:sz w:val="22"/>
        </w:rPr>
        <w:t xml:space="preserve">Maintenance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24.7(1)</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 xml:space="preserve">A political subdivision certified pursuant to this chapter shall submit an annual report to the authority verifying its continued eligibility for certification pursuant to rule </w:t>
      </w:r>
      <w:hyperlink r:id="rId17">
        <w:r>
          <w:rPr>
            <w:rStyle w:val="Hyperlink"/>
            <w:rFonts w:ascii="Times New Roman" w:hAnsi="Times New Roman"/>
            <w:b w:val="false"/>
            <w:i w:val="false"/>
            <w:color w:val="000000"/>
            <w:sz w:val="22"/>
          </w:rPr>
          <w:t>261—24.5</w:t>
        </w:r>
      </w:hyperlink>
      <w:r>
        <w:rPr>
          <w:rFonts w:ascii="Times New Roman" w:hAnsi="Times New Roman"/>
          <w:b w:val="false"/>
          <w:i w:val="false"/>
          <w:color w:val="000000"/>
          <w:sz w:val="22"/>
        </w:rPr>
        <w:t xml:space="preserve">(15E) or </w:t>
      </w:r>
      <w:hyperlink r:id="rId18">
        <w:r>
          <w:rPr>
            <w:rStyle w:val="Hyperlink"/>
            <w:rFonts w:ascii="Times New Roman" w:hAnsi="Times New Roman"/>
            <w:b w:val="false"/>
            <w:i w:val="false"/>
            <w:color w:val="000000"/>
            <w:sz w:val="22"/>
          </w:rPr>
          <w:t>261—24.6</w:t>
        </w:r>
      </w:hyperlink>
      <w:r>
        <w:rPr>
          <w:rFonts w:ascii="Times New Roman" w:hAnsi="Times New Roman"/>
          <w:b w:val="false"/>
          <w:i w:val="false"/>
          <w:color w:val="000000"/>
          <w:sz w:val="22"/>
        </w:rPr>
        <w:t xml:space="preserve">(15E). If applicable, the report will also address a political subdivision’s compliance with the restrictions in </w:t>
      </w:r>
      <w:hyperlink r:id="rId19">
        <w:r>
          <w:rPr>
            <w:rStyle w:val="Hyperlink"/>
            <w:rFonts w:ascii="Times New Roman" w:hAnsi="Times New Roman"/>
            <w:b w:val="false"/>
            <w:i w:val="false"/>
            <w:color w:val="000000"/>
            <w:sz w:val="22"/>
          </w:rPr>
          <w:t>subrule 24.7(2)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24.7(2)</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certified broadband forward communities. </w:t>
      </w:r>
      <w:r>
        <w:rPr>
          <w:rFonts w:ascii="Times New Roman" w:hAnsi="Times New Roman"/>
          <w:b w:val="false"/>
          <w:i w:val="false"/>
          <w:color w:val="000000"/>
          <w:sz w:val="22"/>
        </w:rPr>
        <w:t xml:space="preserve">A political subdivision that the authority has certified as a broadband forward community pursuant to </w:t>
      </w:r>
      <w:hyperlink r:id="rId20">
        <w:r>
          <w:rPr>
            <w:rStyle w:val="Hyperlink"/>
            <w:rFonts w:ascii="Times New Roman" w:hAnsi="Times New Roman"/>
            <w:b w:val="false"/>
            <w:i w:val="false"/>
            <w:color w:val="000000"/>
            <w:sz w:val="22"/>
          </w:rPr>
          <w:t>subrule 24.4(3)</w:t>
        </w:r>
      </w:hyperlink>
      <w:r>
        <w:rPr>
          <w:rFonts w:ascii="Times New Roman" w:hAnsi="Times New Roman"/>
          <w:b w:val="false"/>
          <w:i w:val="false"/>
          <w:color w:val="000000"/>
          <w:sz w:val="22"/>
        </w:rPr>
        <w:t xml:space="preserve"> shall not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an applicant to designate a final contractor to complete a broadband infrastructure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Impose a fee to review an application or issue a permit for a broadband infrastructure application in excess of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Impose a moratorium of any kind on the approval of applications and issuance of permits for broadband infrastructure projects or on construction related to broadband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Discriminate among communications service providers or public utilities with respect to any action described in this rule or otherwise related to broadband infrastructure, including granting access to public rights-of-way, infrastructure and poles, river and bridge crossings, or any other physical assets owned or controlled by the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for approving an application or issuing a permit for a broadband infrastructure project or for any other purpose, require the applicant to provide any service or make available any part of the broadband infrastructure to the political subdivision or make any payment to or on behalf of the political subdivision, except for the fee allowed under </w:t>
      </w:r>
      <w:hyperlink r:id="rId21">
        <w:r>
          <w:rPr>
            <w:rStyle w:val="Hyperlink"/>
            <w:rFonts w:ascii="Times New Roman" w:hAnsi="Times New Roman"/>
            <w:b w:val="false"/>
            <w:i w:val="false"/>
            <w:color w:val="000000"/>
            <w:sz w:val="22"/>
          </w:rPr>
          <w:t>paragraph 24.7(2)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24.7(3)</w:t>
      </w:r>
      <w:r>
        <w:rPr>
          <w:rFonts w:ascii="Times New Roman" w:hAnsi="Times New Roman"/>
          <w:b w:val="false"/>
          <w:i w:val="false"/>
          <w:color w:val="000000"/>
          <w:sz w:val="22"/>
        </w:rPr>
        <w:t> </w:t>
      </w:r>
      <w:r>
        <w:rPr>
          <w:rFonts w:ascii="Times New Roman" w:hAnsi="Times New Roman"/>
          <w:b w:val="false"/>
          <w:i/>
          <w:color w:val="000000"/>
          <w:sz w:val="22"/>
        </w:rPr>
        <w:t xml:space="preserve">Revocation of certification. </w:t>
      </w:r>
      <w:r>
        <w:rPr>
          <w:rFonts w:ascii="Times New Roman" w:hAnsi="Times New Roman"/>
          <w:b w:val="false"/>
          <w:i w:val="false"/>
          <w:color w:val="000000"/>
          <w:sz w:val="22"/>
        </w:rPr>
        <w:t xml:space="preserve">The authority shall revoke the certification of a political subdivision that does not comply with the requirements of </w:t>
      </w:r>
      <w:hyperlink r:id="rId22">
        <w:r>
          <w:rPr>
            <w:rStyle w:val="Hyperlink"/>
            <w:rFonts w:ascii="Times New Roman" w:hAnsi="Times New Roman"/>
            <w:b w:val="false"/>
            <w:i w:val="false"/>
            <w:color w:val="000000"/>
            <w:sz w:val="22"/>
          </w:rPr>
          <w:t>subrule 24.7(1)</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24.7(2)</w:t>
        </w:r>
      </w:hyperlink>
      <w:r>
        <w:rPr>
          <w:rFonts w:ascii="Times New Roman" w:hAnsi="Times New Roman"/>
          <w:b w:val="false"/>
          <w:i w:val="false"/>
          <w:color w:val="000000"/>
          <w:sz w:val="22"/>
        </w:rPr>
        <w:t xml:space="preserve"> or that the authority otherwise determines is no longer eligible for certification pursuant to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6085C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4">
        <w:r>
          <w:rPr>
            <w:rStyle w:val="Hyperlink"/>
            <w:rFonts w:ascii="Times New Roman" w:hAnsi="Times New Roman"/>
            <w:b w:val="false"/>
            <w:i w:val="false"/>
            <w:color w:val="000000"/>
            <w:sz w:val="22"/>
          </w:rPr>
          <w:t>15E.167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6085C</w:t>
      </w:r>
      <w:r>
        <w:rPr>
          <w:rFonts w:ascii="Times New Roman" w:hAnsi="Times New Roman"/>
          <w:b w:val="false"/>
          <w:i w:val="false"/>
          <w:color w:val="000000"/>
          <w:sz w:val="21"/>
        </w:rPr>
        <w:t xml:space="preserve"> (Notice ARC 5929C, IAB 9/22/21)</w:t>
      </w:r>
      <w:r>
        <w:rPr>
          <w:rFonts w:ascii="Times New Roman" w:hAnsi="Times New Roman"/>
          <w:b w:val="false"/>
          <w:i w:val="false"/>
          <w:color w:val="000000"/>
          <w:sz w:val="21"/>
        </w:rPr>
        <w:t>, IAB 12/15/21,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E.167.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8B.1.pdf" Type="http://schemas.openxmlformats.org/officeDocument/2006/relationships/hyperlink" Id="rId7"/>
    <Relationship TargetMode="External" Target="https://www.legis.iowa.gov/docs/ico/chapter/8B.1.pdf" Type="http://schemas.openxmlformats.org/officeDocument/2006/relationships/hyperlink" Id="rId8"/>
    <Relationship TargetMode="External" Target="https://www.legis.iowa.gov/docs/iac/rule/261.24.5.pdf" Type="http://schemas.openxmlformats.org/officeDocument/2006/relationships/hyperlink" Id="rId9"/>
    <Relationship TargetMode="External" Target="https://www.legis.iowa.gov/docs/iac/rule/261.24.6.pdf" Type="http://schemas.openxmlformats.org/officeDocument/2006/relationships/hyperlink" Id="rId10"/>
    <Relationship TargetMode="External" Target="http://www.iowaeda.com" Type="http://schemas.openxmlformats.org/officeDocument/2006/relationships/hyperlink" Id="rId11"/>
    <Relationship TargetMode="External" Target="https://www.legis.iowa.gov/docs/iac/rule/261.24.5.pdf" Type="http://schemas.openxmlformats.org/officeDocument/2006/relationships/hyperlink" Id="rId12"/>
    <Relationship TargetMode="External" Target="https://www.legis.iowa.gov/docs/iac/rule/261.24.6.pdf" Type="http://schemas.openxmlformats.org/officeDocument/2006/relationships/hyperlink" Id="rId13"/>
    <Relationship TargetMode="External" Target="https://www.legis.iowa.gov/docs/iac/rule/261.24.5.pdf" Type="http://schemas.openxmlformats.org/officeDocument/2006/relationships/hyperlink" Id="rId14"/>
    <Relationship TargetMode="External" Target="https://www.legis.iowa.gov/docs/iac/rule/261.24.5.pdf" Type="http://schemas.openxmlformats.org/officeDocument/2006/relationships/hyperlink" Id="rId15"/>
    <Relationship TargetMode="External" Target="https://www.legis.iowa.gov/docs/iac/rule/261.24.6.pdf" Type="http://schemas.openxmlformats.org/officeDocument/2006/relationships/hyperlink" Id="rId16"/>
    <Relationship TargetMode="External" Target="https://www.legis.iowa.gov/docs/iac/rule/261.24.5.pdf" Type="http://schemas.openxmlformats.org/officeDocument/2006/relationships/hyperlink" Id="rId17"/>
    <Relationship TargetMode="External" Target="https://www.legis.iowa.gov/docs/iac/rule/261.24.6.pdf" Type="http://schemas.openxmlformats.org/officeDocument/2006/relationships/hyperlink" Id="rId18"/>
    <Relationship TargetMode="External" Target="https://www.legis.iowa.gov/docs/iac/rule/261.24.7.pdf" Type="http://schemas.openxmlformats.org/officeDocument/2006/relationships/hyperlink" Id="rId19"/>
    <Relationship TargetMode="External" Target="https://www.legis.iowa.gov/docs/iac/rule/261.24.4.pdf" Type="http://schemas.openxmlformats.org/officeDocument/2006/relationships/hyperlink" Id="rId20"/>
    <Relationship TargetMode="External" Target="https://www.legis.iowa.gov/docs/iac/rule/261.24.7.pdf" Type="http://schemas.openxmlformats.org/officeDocument/2006/relationships/hyperlink" Id="rId21"/>
    <Relationship TargetMode="External" Target="https://www.legis.iowa.gov/docs/iac/rule/261.24.7.pdf" Type="http://schemas.openxmlformats.org/officeDocument/2006/relationships/hyperlink" Id="rId22"/>
    <Relationship TargetMode="External" Target="https://www.legis.iowa.gov/docs/iac/rule/261.24.7.pdf" Type="http://schemas.openxmlformats.org/officeDocument/2006/relationships/hyperlink" Id="rId23"/>
    <Relationship TargetMode="External" Target="https://www.legis.iowa.gov/docs/ico/chapter/15E.167.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