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IOWA COMMUNITY DEVELOPMENT BLOCK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261—23.1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primary purpose of the community development block grant program is the development of viable communities by providing decent housing and suitable living environments and expanding economic opportunities, primarily for persons of low and moderate income.</w:t>
      </w:r>
    </w:p>
    <w:p>
      <w:pPr>
        <w:spacing w:before="0" w:after="0"/>
        <w:ind w:left="120"/>
        <w:jc w:val="both"/>
      </w:pPr>
      <w:r>
        <w:rPr>
          <w:rFonts w:ascii="Times New Roman" w:hAnsi="Times New Roman"/>
          <w:b/>
          <w:i w:val="false"/>
          <w:color w:val="000000"/>
          <w:sz w:val="22"/>
        </w:rPr>
        <w:t>261—23.2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action plan” </w:t>
      </w:r>
      <w:r>
        <w:rPr>
          <w:rFonts w:ascii="Times New Roman" w:hAnsi="Times New Roman"/>
          <w:b w:val="false"/>
          <w:i w:val="false"/>
          <w:color w:val="000000"/>
          <w:sz w:val="22"/>
        </w:rPr>
        <w:t xml:space="preserve">means the annual plan required and approved by the U.S. Department of Housing and Urban Development that outlines the state’s processes and procedures for distribution of CDBG funds. The annual action plan is available on the authority’s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“Authority’s website” </w:t>
      </w:r>
      <w:r>
        <w:rPr>
          <w:rFonts w:ascii="Times New Roman" w:hAnsi="Times New Roman"/>
          <w:b w:val="false"/>
          <w:i w:val="false"/>
          <w:color w:val="000000"/>
          <w:sz w:val="22"/>
        </w:rPr>
        <w:t>means the information and related content found at www.iowaeda.com and may include integrated content at affiliate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“CDBG” </w:t>
      </w:r>
      <w:r>
        <w:rPr>
          <w:rFonts w:ascii="Times New Roman" w:hAnsi="Times New Roman"/>
          <w:b w:val="false"/>
          <w:i w:val="false"/>
          <w:color w:val="000000"/>
          <w:sz w:val="22"/>
        </w:rPr>
        <w:t>means community development block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“Citizen participation plan” </w:t>
      </w:r>
      <w:r>
        <w:rPr>
          <w:rFonts w:ascii="Times New Roman" w:hAnsi="Times New Roman"/>
          <w:b w:val="false"/>
          <w:i w:val="false"/>
          <w:color w:val="000000"/>
          <w:sz w:val="22"/>
        </w:rPr>
        <w:t>means the plan required and approved by the U.S. Department of Housing and Urban Development that describes the state’s process for including citizen participation in development of its consolidated plan and annual action plan. The citizen participation plan is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“Consolidated plan” </w:t>
      </w:r>
      <w:r>
        <w:rPr>
          <w:rFonts w:ascii="Times New Roman" w:hAnsi="Times New Roman"/>
          <w:b w:val="false"/>
          <w:i w:val="false"/>
          <w:color w:val="000000"/>
          <w:sz w:val="22"/>
        </w:rPr>
        <w:t>means the five-year plan required and approved by the U.S. Department of Housing and Urban Development that establishes goals and objectives for the state’s CDBG program. The consolidated plan is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“HUD” </w:t>
      </w:r>
      <w:r>
        <w:rPr>
          <w:rFonts w:ascii="Times New Roman" w:hAnsi="Times New Roman"/>
          <w:b w:val="false"/>
          <w:i w:val="false"/>
          <w:color w:val="000000"/>
          <w:sz w:val="22"/>
        </w:rPr>
        <w:t>means the U.S.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“Management guide” </w:t>
      </w:r>
      <w:r>
        <w:rPr>
          <w:rFonts w:ascii="Times New Roman" w:hAnsi="Times New Roman"/>
          <w:b w:val="false"/>
          <w:i w:val="false"/>
          <w:color w:val="000000"/>
          <w:sz w:val="22"/>
        </w:rPr>
        <w:t>means the administrative reference manual published by the authority for each program year. The management guide is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year” </w:t>
      </w:r>
      <w:r>
        <w:rPr>
          <w:rFonts w:ascii="Times New Roman" w:hAnsi="Times New Roman"/>
          <w:b w:val="false"/>
          <w:i w:val="false"/>
          <w:color w:val="000000"/>
          <w:sz w:val="22"/>
        </w:rPr>
        <w:t>means the annual period beginning January 1 and ending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 local government entity awarded CDBG funds under any CDBG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“Subrecipient” </w:t>
      </w:r>
      <w:r>
        <w:rPr>
          <w:rFonts w:ascii="Times New Roman" w:hAnsi="Times New Roman"/>
          <w:b w:val="false"/>
          <w:i w:val="false"/>
          <w:color w:val="000000"/>
          <w:sz w:val="22"/>
        </w:rPr>
        <w:t xml:space="preserve">means a public or nonprofit entity contracting with and receiving funds from a recipient to carry out CDBG project activities.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8145B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2038C</w:t>
      </w:r>
      <w:r>
        <w:rPr>
          <w:rFonts w:ascii="Times New Roman" w:hAnsi="Times New Roman"/>
          <w:b w:val="false"/>
          <w:i w:val="false"/>
          <w:color w:val="000000"/>
          <w:sz w:val="16"/>
        </w:rPr>
        <w:t>, IAB 6/24/15, effective 7/29/15</w:t>
      </w:r>
      <w:r>
        <w:rPr>
          <w:rFonts w:ascii="Times New Roman" w:hAnsi="Times New Roman"/>
          <w:b w:val="false"/>
          <w:i w:val="false"/>
          <w:color w:val="000000"/>
          <w:sz w:val="16"/>
        </w:rPr>
        <w:t xml:space="preserve">; </w:t>
      </w:r>
      <w:r>
        <w:rPr>
          <w:rFonts w:ascii="Times New Roman" w:hAnsi="Times New Roman"/>
          <w:b/>
          <w:i w:val="false"/>
          <w:color w:val="000000"/>
          <w:sz w:val="16"/>
        </w:rPr>
        <w:t>ARC 6241C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261—23.3</w:t>
      </w:r>
      <w:r>
        <w:rPr>
          <w:rFonts w:ascii="Times New Roman" w:hAnsi="Times New Roman"/>
          <w:b/>
          <w:i w:val="false"/>
          <w:color w:val="000000"/>
          <w:sz w:val="22"/>
        </w:rPr>
        <w:t xml:space="preserve">(15) </w:t>
      </w:r>
      <w:r>
        <w:rPr>
          <w:rFonts w:ascii="Times New Roman" w:hAnsi="Times New Roman"/>
          <w:b/>
          <w:i w:val="false"/>
          <w:color w:val="000000"/>
          <w:sz w:val="22"/>
        </w:rPr>
        <w:t xml:space="preserve">Annual action plan. </w:t>
      </w:r>
      <w:r>
        <w:rPr>
          <w:rFonts w:ascii="Times New Roman" w:hAnsi="Times New Roman"/>
          <w:b w:val="false"/>
          <w:i w:val="false"/>
          <w:color w:val="000000"/>
          <w:sz w:val="22"/>
        </w:rPr>
        <w:t>The authority will prepare a CDBG annual action plan for submittal to and approval by HUD. The plan will provide a description of the activities and programs that will take place during the year to meet goals established in the consolidated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w:t>
      </w:r>
      <w:r>
        <w:rPr>
          <w:rFonts w:ascii="Times New Roman" w:hAnsi="Times New Roman"/>
          <w:b w:val="false"/>
          <w:i w:val="false"/>
          <w:color w:val="000000"/>
          <w:sz w:val="22"/>
        </w:rPr>
        <w:t> </w:t>
      </w:r>
      <w:r>
        <w:rPr>
          <w:rFonts w:ascii="Times New Roman" w:hAnsi="Times New Roman"/>
          <w:b w:val="false"/>
          <w:i w:val="false"/>
          <w:color w:val="000000"/>
          <w:sz w:val="22"/>
        </w:rPr>
        <w:t>The authority will follow the state’s citizen participation plan during the development of the annual action plan. A draft annual action plan will be available on the authority’s website for 30 days for public review and comment. The authority will hold a public hearing during the comment period to collect public input on the plan prior to its submittal to HUD.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w:t>
      </w:r>
      <w:r>
        <w:rPr>
          <w:rFonts w:ascii="Times New Roman" w:hAnsi="Times New Roman"/>
          <w:b w:val="false"/>
          <w:i w:val="false"/>
          <w:color w:val="000000"/>
          <w:sz w:val="22"/>
        </w:rPr>
        <w:t> </w:t>
      </w:r>
      <w:r>
        <w:rPr>
          <w:rFonts w:ascii="Times New Roman" w:hAnsi="Times New Roman"/>
          <w:b w:val="false"/>
          <w:i w:val="false"/>
          <w:color w:val="000000"/>
          <w:sz w:val="22"/>
        </w:rPr>
        <w:t>The annual action plan will be submitted to HUD by November 15 of each year or 60 days after HUD announces the annual allocation amount. Upon review and approval by HUD, the annual action plan will cover activities from January 1 to December 31 of the year following plan submittal to HUD.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23.3(3)</w:t>
      </w:r>
      <w:r>
        <w:rPr>
          <w:rFonts w:ascii="Times New Roman" w:hAnsi="Times New Roman"/>
          <w:b w:val="false"/>
          <w:i w:val="false"/>
          <w:color w:val="000000"/>
          <w:sz w:val="22"/>
        </w:rPr>
        <w:t> </w:t>
      </w:r>
      <w:r>
        <w:rPr>
          <w:rFonts w:ascii="Times New Roman" w:hAnsi="Times New Roman"/>
          <w:b w:val="false"/>
          <w:i w:val="false"/>
          <w:color w:val="000000"/>
          <w:sz w:val="22"/>
        </w:rPr>
        <w:t>The annual action plan will include the proposed CDBG program funding allocation.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2038C</w:t>
      </w:r>
      <w:r>
        <w:rPr>
          <w:rFonts w:ascii="Times New Roman" w:hAnsi="Times New Roman"/>
          <w:b w:val="false"/>
          <w:i w:val="false"/>
          <w:color w:val="000000"/>
          <w:sz w:val="16"/>
        </w:rPr>
        <w:t>, IAB 6/24/15, effective 7/29/15</w:t>
      </w:r>
      <w:r>
        <w:rPr>
          <w:rFonts w:ascii="Times New Roman" w:hAnsi="Times New Roman"/>
          <w:b w:val="false"/>
          <w:i w:val="false"/>
          <w:color w:val="000000"/>
          <w:sz w:val="16"/>
        </w:rPr>
        <w:t xml:space="preserve">; </w:t>
      </w:r>
      <w:r>
        <w:rPr>
          <w:rFonts w:ascii="Times New Roman" w:hAnsi="Times New Roman"/>
          <w:b/>
          <w:i w:val="false"/>
          <w:color w:val="000000"/>
          <w:sz w:val="16"/>
        </w:rPr>
        <w:t>ARC 6241C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261—23.4</w:t>
      </w:r>
      <w:r>
        <w:rPr>
          <w:rFonts w:ascii="Times New Roman" w:hAnsi="Times New Roman"/>
          <w:b/>
          <w:i w:val="false"/>
          <w:color w:val="000000"/>
          <w:sz w:val="22"/>
        </w:rPr>
        <w:t xml:space="preserve">(15) </w:t>
      </w:r>
      <w:r>
        <w:rPr>
          <w:rFonts w:ascii="Times New Roman" w:hAnsi="Times New Roman"/>
          <w:b/>
          <w:i w:val="false"/>
          <w:color w:val="000000"/>
          <w:sz w:val="22"/>
        </w:rPr>
        <w:t xml:space="preserve">Allocation of funds. </w:t>
      </w:r>
      <w:r>
        <w:rPr>
          <w:rFonts w:ascii="Times New Roman" w:hAnsi="Times New Roman"/>
          <w:b w:val="false"/>
          <w:i w:val="false"/>
          <w:color w:val="000000"/>
          <w:sz w:val="22"/>
        </w:rPr>
        <w:t>Upon approval by HUD, the authority will annually allocate CDBG funds among programs or activities described in the state’s most recent annual action plan, which may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Housing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Job training and employment-related 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and sewer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Community facilities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Opportunities and threats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Business or microenterprise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Neighborhood revitalization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2038C</w:t>
      </w:r>
      <w:r>
        <w:rPr>
          <w:rFonts w:ascii="Times New Roman" w:hAnsi="Times New Roman"/>
          <w:b w:val="false"/>
          <w:i w:val="false"/>
          <w:color w:val="000000"/>
          <w:sz w:val="16"/>
        </w:rPr>
        <w:t>, IAB 6/24/15, effective 7/29/15</w:t>
      </w:r>
      <w:r>
        <w:rPr>
          <w:rFonts w:ascii="Times New Roman" w:hAnsi="Times New Roman"/>
          <w:b w:val="false"/>
          <w:i w:val="false"/>
          <w:color w:val="000000"/>
          <w:sz w:val="16"/>
        </w:rPr>
        <w:t xml:space="preserve">; </w:t>
      </w:r>
      <w:r>
        <w:rPr>
          <w:rFonts w:ascii="Times New Roman" w:hAnsi="Times New Roman"/>
          <w:b/>
          <w:i w:val="false"/>
          <w:color w:val="000000"/>
          <w:sz w:val="16"/>
        </w:rPr>
        <w:t>ARC 6241C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261—23.5</w:t>
      </w:r>
      <w:r>
        <w:rPr>
          <w:rFonts w:ascii="Times New Roman" w:hAnsi="Times New Roman"/>
          <w:b/>
          <w:i w:val="false"/>
          <w:color w:val="000000"/>
          <w:sz w:val="22"/>
        </w:rPr>
        <w:t xml:space="preserve">(15) </w:t>
      </w:r>
      <w:r>
        <w:rPr>
          <w:rFonts w:ascii="Times New Roman" w:hAnsi="Times New Roman"/>
          <w:b/>
          <w:i w:val="false"/>
          <w:color w:val="000000"/>
          <w:sz w:val="22"/>
        </w:rPr>
        <w:t xml:space="preserve">Requirements for funding. </w:t>
      </w:r>
      <w:r>
        <w:rPr>
          <w:rFonts w:ascii="Times New Roman" w:hAnsi="Times New Roman"/>
          <w:b w:val="false"/>
          <w:i w:val="false"/>
          <w:color w:val="000000"/>
          <w:sz w:val="22"/>
        </w:rPr>
        <w:t xml:space="preserve">Applications for funds under any of the program-allocated funds pursuant to rule </w:t>
      </w:r>
      <w:hyperlink r:id="rId6">
        <w:r>
          <w:rPr>
            <w:rStyle w:val="Hyperlink"/>
            <w:rFonts w:ascii="Times New Roman" w:hAnsi="Times New Roman"/>
            <w:b w:val="false"/>
            <w:i w:val="false"/>
            <w:color w:val="000000"/>
            <w:sz w:val="22"/>
          </w:rPr>
          <w:t>261—23.4</w:t>
        </w:r>
      </w:hyperlink>
      <w:r>
        <w:rPr>
          <w:rFonts w:ascii="Times New Roman" w:hAnsi="Times New Roman"/>
          <w:b w:val="false"/>
          <w:i w:val="false"/>
          <w:color w:val="000000"/>
          <w:sz w:val="22"/>
        </w:rPr>
        <w:t xml:space="preserve">(15) shall meet the minimum criteria described in </w:t>
      </w:r>
      <w:hyperlink r:id="rId7">
        <w:r>
          <w:rPr>
            <w:rStyle w:val="Hyperlink"/>
            <w:rFonts w:ascii="Times New Roman" w:hAnsi="Times New Roman"/>
            <w:b w:val="false"/>
            <w:i w:val="false"/>
            <w:color w:val="000000"/>
            <w:sz w:val="22"/>
          </w:rPr>
          <w:t>subrules 23.5(1) through 23.5(3)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val="false"/>
          <w:color w:val="000000"/>
          <w:sz w:val="22"/>
        </w:rPr>
        <w:t>Proposed activities shall be eligible, as authorized by Title I, Section 105 of the Housing and Community Development Act of 1974, as amended, and as further defined in 24 CFR Part 570.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val="false"/>
          <w:color w:val="000000"/>
          <w:sz w:val="22"/>
        </w:rPr>
        <w:t>Proposed activities shall address at least one of the following three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Primarily benefit low- and moderate-income persons. To address this objective, 51 percent or more persons benefiting from a proposed activity must have incomes at or below 80 percent of the area median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Aid in the prevention or elimination of slums and blight. To address this objective, the application must document the extent or seriousness of deterioration in the area to be assisted, showing a clear adverse effect on the well-being of the area or community and illustrating that the proposed activity will alleviate or eliminate the conditions causing the deterioration.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an urgent community development need. To address this objective, the applicant must certify that the proposed activity is designed to alleviate existing conditions that pose a serious and immediate threat to the health or welfare of the community and that are recent in origin or that recently became urgent; that the applicant is unable to finance the activity without CDBG assistance and that other sources of funding are not available.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w:t>
      </w:r>
      <w:r>
        <w:rPr>
          <w:rFonts w:ascii="Times New Roman" w:hAnsi="Times New Roman"/>
          <w:b w:val="false"/>
          <w:i w:val="false"/>
          <w:color w:val="000000"/>
          <w:sz w:val="22"/>
        </w:rPr>
        <w:t> </w:t>
      </w:r>
      <w:r>
        <w:rPr>
          <w:rFonts w:ascii="Times New Roman" w:hAnsi="Times New Roman"/>
          <w:b w:val="false"/>
          <w:i w:val="false"/>
          <w:color w:val="000000"/>
          <w:sz w:val="22"/>
        </w:rPr>
        <w:t>Applicants shall certify their compliance with federal requirements applicable to the CDBG program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Civil Rights Act of 1964 (PL 88-352) and Title VIII of the Civil Rights Act of 1968 (PL 90-284) and related civil rights, fair housing and equal opportunity statutes and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Title I of the Housing and Community Development Act of 1974;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Age Discrimination Act of 1975;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504 of the Housing and Urban Development Act of 1973;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Section 3 of the Housing and Urban Development Act of 1968;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Davis-Bacon Act (40 U.S.C. 276a-5) where applicable under Section 100 of the Housing and Community Development Act of 1974;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Lead-Based Paint Poisoning Prevention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24 CFR Part 58 and the National Environmental Policy Act of 1969;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Uniform Relocation Assistance and Real Property Acquisition Act of 1979, Titles II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Americans with Disabilities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Section 102 of the Department of Housing and Urban Development Reform Act of 1989;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Contract Work Hours and Safety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Copeland Anti-Kickback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Fair Labor Standards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Hatch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Prohibition on the Use of Excessive Force and Barring Entrance;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Drug-Free Workplace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Governmentwide Restriction on Lobbying;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Single Audit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State of Iowa Citizen Participation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Other relevant regulations as noted in the CDBG management guide.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2038C</w:t>
      </w:r>
      <w:r>
        <w:rPr>
          <w:rFonts w:ascii="Times New Roman" w:hAnsi="Times New Roman"/>
          <w:b w:val="false"/>
          <w:i w:val="false"/>
          <w:color w:val="000000"/>
          <w:sz w:val="16"/>
        </w:rPr>
        <w:t>, IAB 6/24/15, effective 7/29/15</w:t>
      </w:r>
      <w:r>
        <w:rPr>
          <w:rFonts w:ascii="Times New Roman" w:hAnsi="Times New Roman"/>
          <w:b w:val="false"/>
          <w:i w:val="false"/>
          <w:color w:val="000000"/>
          <w:sz w:val="16"/>
        </w:rPr>
        <w:t xml:space="preserve">; </w:t>
      </w:r>
      <w:r>
        <w:rPr>
          <w:rFonts w:ascii="Times New Roman" w:hAnsi="Times New Roman"/>
          <w:b/>
          <w:i w:val="false"/>
          <w:color w:val="000000"/>
          <w:sz w:val="16"/>
        </w:rPr>
        <w:t>ARC 6241C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261—23.6</w:t>
      </w:r>
      <w:r>
        <w:rPr>
          <w:rFonts w:ascii="Times New Roman" w:hAnsi="Times New Roman"/>
          <w:b/>
          <w:i w:val="false"/>
          <w:color w:val="000000"/>
          <w:sz w:val="22"/>
        </w:rPr>
        <w:t xml:space="preserve">(15) </w:t>
      </w:r>
      <w:r>
        <w:rPr>
          <w:rFonts w:ascii="Times New Roman" w:hAnsi="Times New Roman"/>
          <w:b/>
          <w:i w:val="false"/>
          <w:color w:val="000000"/>
          <w:sz w:val="22"/>
        </w:rPr>
        <w:t xml:space="preserve">Award and administration. </w:t>
      </w:r>
      <w:r>
        <w:rPr>
          <w:rFonts w:ascii="Times New Roman" w:hAnsi="Times New Roman"/>
          <w:b w:val="false"/>
          <w:i w:val="false"/>
          <w:color w:val="000000"/>
          <w:sz w:val="22"/>
        </w:rPr>
        <w:t>The authority may negotiate award amounts, terms and conditions prior to making any award under the program. Recipients shall comply with requirements and instructions set forth in the applicable CDBG management guide.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6241C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261—23.7</w:t>
      </w:r>
      <w:r>
        <w:rPr>
          <w:rFonts w:ascii="Times New Roman" w:hAnsi="Times New Roman"/>
          <w:b/>
          <w:i w:val="false"/>
          <w:color w:val="000000"/>
          <w:sz w:val="22"/>
        </w:rPr>
        <w:t xml:space="preserve">(15) </w:t>
      </w:r>
      <w:r>
        <w:rPr>
          <w:rFonts w:ascii="Times New Roman" w:hAnsi="Times New Roman"/>
          <w:b/>
          <w:i w:val="false"/>
          <w:color w:val="000000"/>
          <w:sz w:val="22"/>
        </w:rPr>
        <w:t xml:space="preserve">Requirements for the economic development set-aside fund.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3/9/22</w:t>
      </w:r>
      <w:r>
        <w:rPr>
          <w:rFonts w:ascii="Times New Roman" w:hAnsi="Times New Roman"/>
          <w:b w:val="false"/>
          <w:i w:val="false"/>
          <w:color w:val="000000"/>
          <w:sz w:val="22"/>
        </w:rPr>
        <w:t xml:space="preserve">, effective 4/13/22. </w:t>
      </w:r>
    </w:p>
    <w:p>
      <w:pPr>
        <w:spacing w:before="210" w:after="0"/>
        <w:ind w:left="120"/>
        <w:jc w:val="both"/>
      </w:pPr>
      <w:r>
        <w:rPr>
          <w:rFonts w:ascii="Times New Roman" w:hAnsi="Times New Roman"/>
          <w:b/>
          <w:i w:val="false"/>
          <w:color w:val="000000"/>
          <w:sz w:val="22"/>
        </w:rPr>
        <w:t>261—23.8</w:t>
      </w:r>
      <w:r>
        <w:rPr>
          <w:rFonts w:ascii="Times New Roman" w:hAnsi="Times New Roman"/>
          <w:b/>
          <w:i w:val="false"/>
          <w:color w:val="000000"/>
          <w:sz w:val="22"/>
        </w:rPr>
        <w:t xml:space="preserve">(15) </w:t>
      </w:r>
      <w:r>
        <w:rPr>
          <w:rFonts w:ascii="Times New Roman" w:hAnsi="Times New Roman"/>
          <w:b/>
          <w:i w:val="false"/>
          <w:color w:val="000000"/>
          <w:sz w:val="22"/>
        </w:rPr>
        <w:t xml:space="preserve">Requirements for the public facilities set-aside fund.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3/9/22</w:t>
      </w:r>
      <w:r>
        <w:rPr>
          <w:rFonts w:ascii="Times New Roman" w:hAnsi="Times New Roman"/>
          <w:b w:val="false"/>
          <w:i w:val="false"/>
          <w:color w:val="000000"/>
          <w:sz w:val="22"/>
        </w:rPr>
        <w:t xml:space="preserve">, effective 4/13/22. </w:t>
      </w:r>
    </w:p>
    <w:p>
      <w:pPr>
        <w:spacing w:before="210" w:after="0"/>
        <w:ind w:left="120"/>
        <w:jc w:val="both"/>
      </w:pPr>
      <w:r>
        <w:rPr>
          <w:rFonts w:ascii="Times New Roman" w:hAnsi="Times New Roman"/>
          <w:b/>
          <w:i w:val="false"/>
          <w:color w:val="000000"/>
          <w:sz w:val="22"/>
        </w:rPr>
        <w:t>261—23.9</w:t>
      </w:r>
      <w:r>
        <w:rPr>
          <w:rFonts w:ascii="Times New Roman" w:hAnsi="Times New Roman"/>
          <w:b/>
          <w:i w:val="false"/>
          <w:color w:val="000000"/>
          <w:sz w:val="22"/>
        </w:rPr>
        <w:t xml:space="preserve">(15) </w:t>
      </w:r>
      <w:r>
        <w:rPr>
          <w:rFonts w:ascii="Times New Roman" w:hAnsi="Times New Roman"/>
          <w:b/>
          <w:i w:val="false"/>
          <w:color w:val="000000"/>
          <w:sz w:val="22"/>
        </w:rPr>
        <w:t xml:space="preserve">Requirements for the career link program.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3/9/22</w:t>
      </w:r>
      <w:r>
        <w:rPr>
          <w:rFonts w:ascii="Times New Roman" w:hAnsi="Times New Roman"/>
          <w:b w:val="false"/>
          <w:i w:val="false"/>
          <w:color w:val="000000"/>
          <w:sz w:val="22"/>
        </w:rPr>
        <w:t xml:space="preserve">, effective 4/13/22. </w:t>
      </w:r>
    </w:p>
    <w:p>
      <w:pPr>
        <w:spacing w:before="210" w:after="0"/>
        <w:ind w:left="120"/>
        <w:jc w:val="both"/>
      </w:pPr>
      <w:r>
        <w:rPr>
          <w:rFonts w:ascii="Times New Roman" w:hAnsi="Times New Roman"/>
          <w:b/>
          <w:i w:val="false"/>
          <w:color w:val="000000"/>
          <w:sz w:val="22"/>
        </w:rPr>
        <w:t>261—23.10</w:t>
      </w:r>
      <w:r>
        <w:rPr>
          <w:rFonts w:ascii="Times New Roman" w:hAnsi="Times New Roman"/>
          <w:b/>
          <w:i w:val="false"/>
          <w:color w:val="000000"/>
          <w:sz w:val="22"/>
        </w:rPr>
        <w:t xml:space="preserve">(15) </w:t>
      </w:r>
      <w:r>
        <w:rPr>
          <w:rFonts w:ascii="Times New Roman" w:hAnsi="Times New Roman"/>
          <w:b/>
          <w:i w:val="false"/>
          <w:color w:val="000000"/>
          <w:sz w:val="22"/>
        </w:rPr>
        <w:t xml:space="preserve">Requirements for the opportunities and threats fund.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3/9/22</w:t>
      </w:r>
      <w:r>
        <w:rPr>
          <w:rFonts w:ascii="Times New Roman" w:hAnsi="Times New Roman"/>
          <w:b w:val="false"/>
          <w:i w:val="false"/>
          <w:color w:val="000000"/>
          <w:sz w:val="22"/>
        </w:rPr>
        <w:t xml:space="preserve">, effective 4/13/22. </w:t>
      </w:r>
    </w:p>
    <w:p>
      <w:pPr>
        <w:spacing w:before="210" w:after="0"/>
        <w:ind w:left="120"/>
        <w:jc w:val="both"/>
      </w:pPr>
      <w:r>
        <w:rPr>
          <w:rFonts w:ascii="Times New Roman" w:hAnsi="Times New Roman"/>
          <w:b/>
          <w:i w:val="false"/>
          <w:color w:val="000000"/>
          <w:sz w:val="22"/>
        </w:rPr>
        <w:t>261—23.11</w:t>
      </w:r>
      <w:r>
        <w:rPr>
          <w:rFonts w:ascii="Times New Roman" w:hAnsi="Times New Roman"/>
          <w:b/>
          <w:i w:val="false"/>
          <w:color w:val="000000"/>
          <w:sz w:val="22"/>
        </w:rPr>
        <w:t xml:space="preserve">(15) </w:t>
      </w:r>
      <w:r>
        <w:rPr>
          <w:rFonts w:ascii="Times New Roman" w:hAnsi="Times New Roman"/>
          <w:b/>
          <w:i w:val="false"/>
          <w:color w:val="000000"/>
          <w:sz w:val="22"/>
        </w:rPr>
        <w:t xml:space="preserve">Requirements for the housing fund program.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3/9/22</w:t>
      </w:r>
      <w:r>
        <w:rPr>
          <w:rFonts w:ascii="Times New Roman" w:hAnsi="Times New Roman"/>
          <w:b w:val="false"/>
          <w:i w:val="false"/>
          <w:color w:val="000000"/>
          <w:sz w:val="22"/>
        </w:rPr>
        <w:t xml:space="preserve">, effective 4/13/22. </w:t>
      </w:r>
    </w:p>
    <w:p>
      <w:pPr>
        <w:spacing w:before="210" w:after="0"/>
        <w:ind w:left="120"/>
        <w:jc w:val="both"/>
      </w:pPr>
      <w:r>
        <w:rPr>
          <w:rFonts w:ascii="Times New Roman" w:hAnsi="Times New Roman"/>
          <w:b/>
          <w:i w:val="false"/>
          <w:color w:val="000000"/>
          <w:sz w:val="22"/>
        </w:rPr>
        <w:t>261—23.12</w:t>
      </w:r>
      <w:r>
        <w:rPr>
          <w:rFonts w:ascii="Times New Roman" w:hAnsi="Times New Roman"/>
          <w:b/>
          <w:i w:val="false"/>
          <w:color w:val="000000"/>
          <w:sz w:val="22"/>
        </w:rPr>
        <w:t xml:space="preserve">(15) </w:t>
      </w:r>
      <w:r>
        <w:rPr>
          <w:rFonts w:ascii="Times New Roman" w:hAnsi="Times New Roman"/>
          <w:b/>
          <w:i w:val="false"/>
          <w:color w:val="000000"/>
          <w:sz w:val="22"/>
        </w:rPr>
        <w:t xml:space="preserve">Interim financing program. </w:t>
      </w:r>
      <w:r>
        <w:rPr>
          <w:rFonts w:ascii="Times New Roman" w:hAnsi="Times New Roman"/>
          <w:b w:val="false"/>
          <w:i w:val="false"/>
          <w:color w:val="000000"/>
          <w:sz w:val="22"/>
        </w:rPr>
        <w:t xml:space="preserve">Rescinded </w:t>
      </w:r>
      <w:r>
        <w:rPr>
          <w:rFonts w:ascii="Times New Roman" w:hAnsi="Times New Roman"/>
          <w:b/>
          <w:i w:val="false"/>
          <w:color w:val="000000"/>
          <w:sz w:val="22"/>
        </w:rPr>
        <w:t>ARC 2038C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6/24/15</w:t>
      </w:r>
      <w:r>
        <w:rPr>
          <w:rFonts w:ascii="Times New Roman" w:hAnsi="Times New Roman"/>
          <w:b w:val="false"/>
          <w:i w:val="false"/>
          <w:color w:val="000000"/>
          <w:sz w:val="22"/>
        </w:rPr>
        <w:t>, effective 7/29/15.</w:t>
      </w:r>
    </w:p>
    <w:p>
      <w:pPr>
        <w:spacing w:before="210" w:after="0"/>
        <w:ind w:left="120"/>
        <w:jc w:val="both"/>
      </w:pPr>
      <w:r>
        <w:rPr>
          <w:rFonts w:ascii="Times New Roman" w:hAnsi="Times New Roman"/>
          <w:b/>
          <w:i w:val="false"/>
          <w:color w:val="000000"/>
          <w:sz w:val="22"/>
        </w:rPr>
        <w:t>261—23.13</w:t>
      </w:r>
      <w:r>
        <w:rPr>
          <w:rFonts w:ascii="Times New Roman" w:hAnsi="Times New Roman"/>
          <w:b/>
          <w:i w:val="false"/>
          <w:color w:val="000000"/>
          <w:sz w:val="22"/>
        </w:rPr>
        <w:t xml:space="preserve">(15) </w:t>
      </w:r>
      <w:r>
        <w:rPr>
          <w:rFonts w:ascii="Times New Roman" w:hAnsi="Times New Roman"/>
          <w:b/>
          <w:i w:val="false"/>
          <w:color w:val="000000"/>
          <w:sz w:val="22"/>
        </w:rPr>
        <w:t xml:space="preserve">Flood recovery fund.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9/18/02</w:t>
      </w:r>
      <w:r>
        <w:rPr>
          <w:rFonts w:ascii="Times New Roman" w:hAnsi="Times New Roman"/>
          <w:b w:val="false"/>
          <w:i w:val="false"/>
          <w:color w:val="000000"/>
          <w:sz w:val="22"/>
        </w:rPr>
        <w:t>, effective 10/23/02.</w:t>
      </w:r>
    </w:p>
    <w:p>
      <w:pPr>
        <w:spacing w:before="210" w:after="0"/>
        <w:ind w:left="120"/>
        <w:jc w:val="both"/>
      </w:pPr>
      <w:r>
        <w:rPr>
          <w:rFonts w:ascii="Times New Roman" w:hAnsi="Times New Roman"/>
          <w:b/>
          <w:i w:val="false"/>
          <w:color w:val="000000"/>
          <w:sz w:val="22"/>
        </w:rPr>
        <w:t>261—23.14</w:t>
      </w:r>
      <w:r>
        <w:rPr>
          <w:rFonts w:ascii="Times New Roman" w:hAnsi="Times New Roman"/>
          <w:b/>
          <w:i w:val="false"/>
          <w:color w:val="000000"/>
          <w:sz w:val="22"/>
        </w:rPr>
        <w:t xml:space="preserve">(15) </w:t>
      </w:r>
      <w:r>
        <w:rPr>
          <w:rFonts w:ascii="Times New Roman" w:hAnsi="Times New Roman"/>
          <w:b/>
          <w:i w:val="false"/>
          <w:color w:val="000000"/>
          <w:sz w:val="22"/>
        </w:rPr>
        <w:t xml:space="preserve">Disaster recovery fund.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3/9/22</w:t>
      </w:r>
      <w:r>
        <w:rPr>
          <w:rFonts w:ascii="Times New Roman" w:hAnsi="Times New Roman"/>
          <w:b w:val="false"/>
          <w:i w:val="false"/>
          <w:color w:val="000000"/>
          <w:sz w:val="22"/>
        </w:rPr>
        <w:t xml:space="preserve">, effective 4/13/22. </w:t>
      </w:r>
    </w:p>
    <w:p>
      <w:pPr>
        <w:spacing w:before="210" w:after="0"/>
        <w:ind w:left="120"/>
        <w:jc w:val="both"/>
      </w:pPr>
      <w:r>
        <w:rPr>
          <w:rFonts w:ascii="Times New Roman" w:hAnsi="Times New Roman"/>
          <w:b/>
          <w:i w:val="false"/>
          <w:color w:val="000000"/>
          <w:sz w:val="22"/>
        </w:rPr>
        <w:t>261—23.15</w:t>
      </w:r>
      <w:r>
        <w:rPr>
          <w:rFonts w:ascii="Times New Roman" w:hAnsi="Times New Roman"/>
          <w:b/>
          <w:i w:val="false"/>
          <w:color w:val="000000"/>
          <w:sz w:val="22"/>
        </w:rPr>
        <w:t xml:space="preserve">(15) </w:t>
      </w:r>
      <w:r>
        <w:rPr>
          <w:rFonts w:ascii="Times New Roman" w:hAnsi="Times New Roman"/>
          <w:b/>
          <w:i w:val="false"/>
          <w:color w:val="000000"/>
          <w:sz w:val="22"/>
        </w:rPr>
        <w:t xml:space="preserve">Administration of a CDBG award.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3/9/22</w:t>
      </w:r>
      <w:r>
        <w:rPr>
          <w:rFonts w:ascii="Times New Roman" w:hAnsi="Times New Roman"/>
          <w:b w:val="false"/>
          <w:i w:val="false"/>
          <w:color w:val="000000"/>
          <w:sz w:val="22"/>
        </w:rPr>
        <w:t xml:space="preserve">, effective 4/13/22. </w:t>
      </w:r>
    </w:p>
    <w:p>
      <w:pPr>
        <w:spacing w:before="210" w:after="0"/>
        <w:ind w:left="120"/>
        <w:jc w:val="both"/>
      </w:pPr>
      <w:r>
        <w:rPr>
          <w:rFonts w:ascii="Times New Roman" w:hAnsi="Times New Roman"/>
          <w:b/>
          <w:i w:val="false"/>
          <w:color w:val="000000"/>
          <w:sz w:val="22"/>
        </w:rPr>
        <w:t>261—23.16</w:t>
      </w:r>
      <w:r>
        <w:rPr>
          <w:rFonts w:ascii="Times New Roman" w:hAnsi="Times New Roman"/>
          <w:b/>
          <w:i w:val="false"/>
          <w:color w:val="000000"/>
          <w:sz w:val="22"/>
        </w:rPr>
        <w:t xml:space="preserve">(15) </w:t>
      </w:r>
      <w:r>
        <w:rPr>
          <w:rFonts w:ascii="Times New Roman" w:hAnsi="Times New Roman"/>
          <w:b/>
          <w:i w:val="false"/>
          <w:color w:val="000000"/>
          <w:sz w:val="22"/>
        </w:rPr>
        <w:t xml:space="preserve">Requirements for the downtown revitalization fund.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3/9/22</w:t>
      </w:r>
      <w:r>
        <w:rPr>
          <w:rFonts w:ascii="Times New Roman" w:hAnsi="Times New Roman"/>
          <w:b w:val="false"/>
          <w:i w:val="false"/>
          <w:color w:val="000000"/>
          <w:sz w:val="22"/>
        </w:rPr>
        <w:t xml:space="preserve">, effective 4/13/22. </w:t>
      </w:r>
    </w:p>
    <w:p>
      <w:pPr>
        <w:spacing w:before="210" w:after="0"/>
        <w:ind w:left="120"/>
        <w:jc w:val="both"/>
      </w:pPr>
      <w:r>
        <w:rPr>
          <w:rFonts w:ascii="Times New Roman" w:hAnsi="Times New Roman"/>
          <w:b/>
          <w:i w:val="false"/>
          <w:color w:val="000000"/>
          <w:sz w:val="22"/>
        </w:rPr>
        <w:t>261—23.17</w:t>
      </w:r>
      <w:r>
        <w:rPr>
          <w:rFonts w:ascii="Times New Roman" w:hAnsi="Times New Roman"/>
          <w:b/>
          <w:i w:val="false"/>
          <w:color w:val="000000"/>
          <w:sz w:val="22"/>
        </w:rPr>
        <w:t xml:space="preserve">(15) </w:t>
      </w:r>
      <w:r>
        <w:rPr>
          <w:rFonts w:ascii="Times New Roman" w:hAnsi="Times New Roman"/>
          <w:b/>
          <w:i w:val="false"/>
          <w:color w:val="000000"/>
          <w:sz w:val="22"/>
        </w:rPr>
        <w:t xml:space="preserve">Section 108 Loan Guarantee Program.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3/9/22</w:t>
      </w:r>
      <w:r>
        <w:rPr>
          <w:rFonts w:ascii="Times New Roman" w:hAnsi="Times New Roman"/>
          <w:b w:val="false"/>
          <w:i w:val="false"/>
          <w:color w:val="000000"/>
          <w:sz w:val="22"/>
        </w:rPr>
        <w:t xml:space="preserve">, effective 4/13/22. </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15.108(1)</w:t>
        </w:r>
      </w:hyperlink>
      <w:r>
        <w:rPr>
          <w:rFonts w:ascii="Times New Roman" w:hAnsi="Times New Roman"/>
          <w:b w:val="false"/>
          <w:i/>
          <w:color w:val="000000"/>
          <w:sz w:val="22"/>
        </w:rPr>
        <w:t>“a.”</w:t>
      </w:r>
    </w:p>
    <w:p>
      <w:pPr>
        <w:spacing w:before="0" w:after="0"/>
        <w:ind w:left="120"/>
        <w:jc w:val="center"/>
      </w:pPr>
      <w:r>
        <w:rPr>
          <w:rFonts w:ascii="Times New Roman" w:hAnsi="Times New Roman"/>
          <w:b w:val="false"/>
          <w:i w:val="false"/>
          <w:color w:val="000000"/>
          <w:sz w:val="21"/>
        </w:rPr>
        <w:t>[Filed emergency 4/2/82 after Notice 2/17/82—published 4/28/82, effective 4/2/82]</w:t>
      </w:r>
    </w:p>
    <w:p>
      <w:pPr>
        <w:spacing w:before="0" w:after="0"/>
        <w:ind w:left="120"/>
        <w:jc w:val="center"/>
      </w:pPr>
      <w:r>
        <w:rPr>
          <w:rFonts w:ascii="Times New Roman" w:hAnsi="Times New Roman"/>
          <w:b w:val="false"/>
          <w:i w:val="false"/>
          <w:color w:val="000000"/>
          <w:sz w:val="21"/>
        </w:rPr>
        <w:t>[Filed 12/7/82, Notice 9/1/82—published 12/22/82, effective 1/26/83]</w:t>
      </w:r>
    </w:p>
    <w:p>
      <w:pPr>
        <w:spacing w:before="0" w:after="0"/>
        <w:ind w:left="120"/>
        <w:jc w:val="center"/>
      </w:pPr>
      <w:r>
        <w:rPr>
          <w:rFonts w:ascii="Times New Roman" w:hAnsi="Times New Roman"/>
          <w:b w:val="false"/>
          <w:i w:val="false"/>
          <w:color w:val="000000"/>
          <w:sz w:val="21"/>
        </w:rPr>
        <w:t>[Filed emergency 6/3/83—published 6/22/83, effective 6/3/83]</w:t>
      </w:r>
    </w:p>
    <w:p>
      <w:pPr>
        <w:spacing w:before="0" w:after="0"/>
        <w:ind w:left="120"/>
        <w:jc w:val="center"/>
      </w:pPr>
      <w:r>
        <w:rPr>
          <w:rFonts w:ascii="Times New Roman" w:hAnsi="Times New Roman"/>
          <w:b w:val="false"/>
          <w:i w:val="false"/>
          <w:color w:val="000000"/>
          <w:sz w:val="21"/>
        </w:rPr>
        <w:t>[Filed 9/23/83, Notice 8/17/83—published 10/12/83, effective 11/16/83]</w:t>
      </w:r>
    </w:p>
    <w:p>
      <w:pPr>
        <w:spacing w:before="0" w:after="0"/>
        <w:ind w:left="120"/>
        <w:jc w:val="center"/>
      </w:pPr>
      <w:r>
        <w:rPr>
          <w:rFonts w:ascii="Times New Roman" w:hAnsi="Times New Roman"/>
          <w:b w:val="false"/>
          <w:i w:val="false"/>
          <w:color w:val="000000"/>
          <w:sz w:val="21"/>
        </w:rPr>
        <w:t>[Filed emergency 1/27/84—published 2/15/84, effective 1/27/84]</w:t>
      </w:r>
    </w:p>
    <w:p>
      <w:pPr>
        <w:spacing w:before="0" w:after="0"/>
        <w:ind w:left="120"/>
        <w:jc w:val="center"/>
      </w:pPr>
      <w:r>
        <w:rPr>
          <w:rFonts w:ascii="Times New Roman" w:hAnsi="Times New Roman"/>
          <w:b w:val="false"/>
          <w:i w:val="false"/>
          <w:color w:val="000000"/>
          <w:sz w:val="21"/>
        </w:rPr>
        <w:t>[Filed 9/21/84, Notice 8/15/84—published 10/10/84, effective 11/14/84]</w:t>
      </w:r>
    </w:p>
    <w:p>
      <w:pPr>
        <w:spacing w:before="0" w:after="0"/>
        <w:ind w:left="120"/>
        <w:jc w:val="center"/>
      </w:pPr>
      <w:r>
        <w:rPr>
          <w:rFonts w:ascii="Times New Roman" w:hAnsi="Times New Roman"/>
          <w:b w:val="false"/>
          <w:i w:val="false"/>
          <w:color w:val="000000"/>
          <w:sz w:val="21"/>
        </w:rPr>
        <w:t>[Filed emergency 11/30/84—published 12/19/84, effective 11/30/84]</w:t>
      </w:r>
    </w:p>
    <w:p>
      <w:pPr>
        <w:spacing w:before="0" w:after="0"/>
        <w:ind w:left="120"/>
        <w:jc w:val="center"/>
      </w:pPr>
      <w:r>
        <w:rPr>
          <w:rFonts w:ascii="Times New Roman" w:hAnsi="Times New Roman"/>
          <w:b w:val="false"/>
          <w:i w:val="false"/>
          <w:color w:val="000000"/>
          <w:sz w:val="21"/>
        </w:rPr>
        <w:t>[Filed emergency 1/29/85—published 2/27/85, effective 1/29/85]</w:t>
      </w:r>
    </w:p>
    <w:p>
      <w:pPr>
        <w:spacing w:before="0" w:after="0"/>
        <w:ind w:left="120"/>
        <w:jc w:val="center"/>
      </w:pPr>
      <w:r>
        <w:rPr>
          <w:rFonts w:ascii="Times New Roman" w:hAnsi="Times New Roman"/>
          <w:b w:val="false"/>
          <w:i w:val="false"/>
          <w:color w:val="000000"/>
          <w:sz w:val="21"/>
        </w:rPr>
        <w:t>[Filed 9/20/85, Notice 8/14/85—published 10/9/85, effective 11/13/85]</w:t>
      </w:r>
    </w:p>
    <w:p>
      <w:pPr>
        <w:spacing w:before="0" w:after="0"/>
        <w:ind w:left="120"/>
        <w:jc w:val="center"/>
      </w:pPr>
      <w:r>
        <w:rPr>
          <w:rFonts w:ascii="Times New Roman" w:hAnsi="Times New Roman"/>
          <w:b w:val="false"/>
          <w:i w:val="false"/>
          <w:color w:val="000000"/>
          <w:sz w:val="21"/>
        </w:rPr>
        <w:t>[Filed emergency 10/10/85—published 11/6/85, effective 10/10/85]</w:t>
      </w:r>
    </w:p>
    <w:p>
      <w:pPr>
        <w:spacing w:before="0" w:after="0"/>
        <w:ind w:left="120"/>
        <w:jc w:val="center"/>
      </w:pPr>
      <w:r>
        <w:rPr>
          <w:rFonts w:ascii="Times New Roman" w:hAnsi="Times New Roman"/>
          <w:b w:val="false"/>
          <w:i w:val="false"/>
          <w:color w:val="000000"/>
          <w:sz w:val="21"/>
        </w:rPr>
        <w:t>[Filed emergency 3/21/86—published 4/9/86, effective 3/21/86]</w:t>
      </w:r>
    </w:p>
    <w:p>
      <w:pPr>
        <w:spacing w:before="0" w:after="0"/>
        <w:ind w:left="120"/>
        <w:jc w:val="center"/>
      </w:pPr>
      <w:r>
        <w:rPr>
          <w:rFonts w:ascii="Times New Roman" w:hAnsi="Times New Roman"/>
          <w:b w:val="false"/>
          <w:i w:val="false"/>
          <w:color w:val="000000"/>
          <w:sz w:val="21"/>
        </w:rPr>
        <w:t>[Filed emergency 8/8/86—published 8/27/86, effective 8/8/86]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11/14/86 after Notice 10/8/86—published 12/3/86, effective 11/14/86]</w:t>
      </w:r>
    </w:p>
    <w:p>
      <w:pPr>
        <w:spacing w:before="0" w:after="0"/>
        <w:ind w:left="120"/>
        <w:jc w:val="center"/>
      </w:pPr>
      <w:r>
        <w:rPr>
          <w:rFonts w:ascii="Times New Roman" w:hAnsi="Times New Roman"/>
          <w:b w:val="false"/>
          <w:i w:val="false"/>
          <w:color w:val="000000"/>
          <w:sz w:val="21"/>
        </w:rPr>
        <w:t>[Filed emergency 9/11/87 after Notice 7/29/87—published 10/7/87, effective 9/11/87]</w:t>
      </w:r>
    </w:p>
    <w:p>
      <w:pPr>
        <w:spacing w:before="0" w:after="0"/>
        <w:ind w:left="120"/>
        <w:jc w:val="center"/>
      </w:pPr>
      <w:r>
        <w:rPr>
          <w:rFonts w:ascii="Times New Roman" w:hAnsi="Times New Roman"/>
          <w:b w:val="false"/>
          <w:i w:val="false"/>
          <w:color w:val="000000"/>
          <w:sz w:val="21"/>
        </w:rPr>
        <w:t>[Filed 8/19/88, Notice 6/15/88—published 9/7/88, effective 10/12/88]</w:t>
      </w:r>
    </w:p>
    <w:p>
      <w:pPr>
        <w:spacing w:before="0" w:after="0"/>
        <w:ind w:left="120"/>
        <w:jc w:val="center"/>
      </w:pPr>
      <w:r>
        <w:rPr>
          <w:rFonts w:ascii="Times New Roman" w:hAnsi="Times New Roman"/>
          <w:b w:val="false"/>
          <w:i w:val="false"/>
          <w:color w:val="000000"/>
          <w:sz w:val="21"/>
        </w:rPr>
        <w:t>[Filed emergency 11/23/88—published 12/14/88, effective 11/23/88]</w:t>
      </w:r>
    </w:p>
    <w:p>
      <w:pPr>
        <w:spacing w:before="0" w:after="0"/>
        <w:ind w:left="120"/>
        <w:jc w:val="center"/>
      </w:pPr>
      <w:r>
        <w:rPr>
          <w:rFonts w:ascii="Times New Roman" w:hAnsi="Times New Roman"/>
          <w:b w:val="false"/>
          <w:i w:val="false"/>
          <w:color w:val="000000"/>
          <w:sz w:val="21"/>
        </w:rPr>
        <w:t>[Filed emergency 2/17/89—published 3/8/89, effective 2/17/89]</w:t>
      </w:r>
    </w:p>
    <w:p>
      <w:pPr>
        <w:spacing w:before="0" w:after="0"/>
        <w:ind w:left="120"/>
        <w:jc w:val="center"/>
      </w:pPr>
      <w:r>
        <w:rPr>
          <w:rFonts w:ascii="Times New Roman" w:hAnsi="Times New Roman"/>
          <w:b w:val="false"/>
          <w:i w:val="false"/>
          <w:color w:val="000000"/>
          <w:sz w:val="21"/>
        </w:rPr>
        <w:t>[Filed emergency 5/19/89—published 6/14/89, effective 5/19/89]</w:t>
      </w:r>
    </w:p>
    <w:p>
      <w:pPr>
        <w:spacing w:before="0" w:after="0"/>
        <w:ind w:left="120"/>
        <w:jc w:val="center"/>
      </w:pPr>
      <w:r>
        <w:rPr>
          <w:rFonts w:ascii="Times New Roman" w:hAnsi="Times New Roman"/>
          <w:b w:val="false"/>
          <w:i w:val="false"/>
          <w:color w:val="000000"/>
          <w:sz w:val="21"/>
        </w:rPr>
        <w:t>[Filed 8/18/89, Notice 7/12/89—published 9/6/89, effective 10/11/89]</w:t>
      </w:r>
    </w:p>
    <w:p>
      <w:pPr>
        <w:spacing w:before="0" w:after="0"/>
        <w:ind w:left="120"/>
        <w:jc w:val="center"/>
      </w:pPr>
      <w:r>
        <w:rPr>
          <w:rFonts w:ascii="Times New Roman" w:hAnsi="Times New Roman"/>
          <w:b w:val="false"/>
          <w:i w:val="false"/>
          <w:color w:val="000000"/>
          <w:sz w:val="21"/>
        </w:rPr>
        <w:t>[Filed emergency 10/20/89—published 11/15/89, effective 10/20/89]</w:t>
      </w:r>
    </w:p>
    <w:p>
      <w:pPr>
        <w:spacing w:before="0" w:after="0"/>
        <w:ind w:left="120"/>
        <w:jc w:val="center"/>
      </w:pPr>
      <w:r>
        <w:rPr>
          <w:rFonts w:ascii="Times New Roman" w:hAnsi="Times New Roman"/>
          <w:b w:val="false"/>
          <w:i w:val="false"/>
          <w:color w:val="000000"/>
          <w:sz w:val="21"/>
        </w:rPr>
        <w:t>[Filed 8/17/90, Notice 7/11/90—published 9/5/90, effective 10/10/90]</w:t>
      </w:r>
    </w:p>
    <w:p>
      <w:pPr>
        <w:spacing w:before="0" w:after="0"/>
        <w:ind w:left="120"/>
        <w:jc w:val="center"/>
      </w:pPr>
      <w:r>
        <w:rPr>
          <w:rFonts w:ascii="Times New Roman" w:hAnsi="Times New Roman"/>
          <w:b w:val="false"/>
          <w:i w:val="false"/>
          <w:color w:val="000000"/>
          <w:sz w:val="21"/>
        </w:rPr>
        <w:t>[Filed emergency 4/19/91—published 5/15/91, effective 4/19/91]</w:t>
      </w:r>
    </w:p>
    <w:p>
      <w:pPr>
        <w:spacing w:before="0" w:after="0"/>
        <w:ind w:left="120"/>
        <w:jc w:val="center"/>
      </w:pPr>
      <w:r>
        <w:rPr>
          <w:rFonts w:ascii="Times New Roman" w:hAnsi="Times New Roman"/>
          <w:b w:val="false"/>
          <w:i w:val="false"/>
          <w:color w:val="000000"/>
          <w:sz w:val="21"/>
        </w:rPr>
        <w:t>[Filed emergency 6/21/91 after Notice 4/17/91—published 7/10/91, effective 6/21/91]</w:t>
      </w:r>
    </w:p>
    <w:p>
      <w:pPr>
        <w:spacing w:before="0" w:after="0"/>
        <w:ind w:left="120"/>
        <w:jc w:val="center"/>
      </w:pPr>
      <w:r>
        <w:rPr>
          <w:rFonts w:ascii="Times New Roman" w:hAnsi="Times New Roman"/>
          <w:b w:val="false"/>
          <w:i w:val="false"/>
          <w:color w:val="000000"/>
          <w:sz w:val="21"/>
        </w:rPr>
        <w:t>[Filed 9/25/91, Notice 7/10/91—published 10/16/91, effective 11/20/91]</w:t>
      </w:r>
    </w:p>
    <w:p>
      <w:pPr>
        <w:spacing w:before="0" w:after="0"/>
        <w:ind w:left="120"/>
        <w:jc w:val="center"/>
      </w:pPr>
      <w:r>
        <w:rPr>
          <w:rFonts w:ascii="Times New Roman" w:hAnsi="Times New Roman"/>
          <w:b w:val="false"/>
          <w:i w:val="false"/>
          <w:color w:val="000000"/>
          <w:sz w:val="21"/>
        </w:rPr>
        <w:t>[Filed 5/22/92, Notice 3/18/92—published 6/10/92, effective 7/15/92]</w:t>
      </w:r>
    </w:p>
    <w:p>
      <w:pPr>
        <w:spacing w:before="0" w:after="0"/>
        <w:ind w:left="120"/>
        <w:jc w:val="center"/>
      </w:pPr>
      <w:r>
        <w:rPr>
          <w:rFonts w:ascii="Times New Roman" w:hAnsi="Times New Roman"/>
          <w:b w:val="false"/>
          <w:i w:val="false"/>
          <w:color w:val="000000"/>
          <w:sz w:val="21"/>
        </w:rPr>
        <w:t>[Filed 9/23/92, Notice 7/8/92—published 10/14/92, effective 11/18/92]</w:t>
      </w:r>
    </w:p>
    <w:p>
      <w:pPr>
        <w:spacing w:before="0" w:after="0"/>
        <w:ind w:left="120"/>
        <w:jc w:val="center"/>
      </w:pPr>
      <w:r>
        <w:rPr>
          <w:rFonts w:ascii="Times New Roman" w:hAnsi="Times New Roman"/>
          <w:b w:val="false"/>
          <w:i w:val="false"/>
          <w:color w:val="000000"/>
          <w:sz w:val="21"/>
        </w:rPr>
        <w:t>[Filed emergency 8/20/93—published 9/15/93, effective 8/20/93]</w:t>
      </w:r>
    </w:p>
    <w:p>
      <w:pPr>
        <w:spacing w:before="0" w:after="0"/>
        <w:ind w:left="120"/>
        <w:jc w:val="center"/>
      </w:pPr>
      <w:r>
        <w:rPr>
          <w:rFonts w:ascii="Times New Roman" w:hAnsi="Times New Roman"/>
          <w:b w:val="false"/>
          <w:i w:val="false"/>
          <w:color w:val="000000"/>
          <w:sz w:val="21"/>
        </w:rPr>
        <w:t>[Filed emergency 10/22/93 after Notice 8/18/93—published 11/10/93, effective 10/22/93]</w:t>
      </w:r>
    </w:p>
    <w:p>
      <w:pPr>
        <w:spacing w:before="0" w:after="0"/>
        <w:ind w:left="120"/>
        <w:jc w:val="center"/>
      </w:pPr>
      <w:r>
        <w:rPr>
          <w:rFonts w:ascii="Times New Roman" w:hAnsi="Times New Roman"/>
          <w:b w:val="false"/>
          <w:i w:val="false"/>
          <w:color w:val="000000"/>
          <w:sz w:val="21"/>
        </w:rPr>
        <w:t>[Filed emergency 10/22/93—published 11/10/93, effective 10/22/93]</w:t>
      </w:r>
    </w:p>
    <w:p>
      <w:pPr>
        <w:spacing w:before="0" w:after="0"/>
        <w:ind w:left="120"/>
        <w:jc w:val="center"/>
      </w:pPr>
      <w:r>
        <w:rPr>
          <w:rFonts w:ascii="Times New Roman" w:hAnsi="Times New Roman"/>
          <w:b w:val="false"/>
          <w:i w:val="false"/>
          <w:color w:val="000000"/>
          <w:sz w:val="21"/>
        </w:rPr>
        <w:t>[Filed emergency 3/17/94—published 4/13/94, effective 3/18/94]</w:t>
      </w:r>
    </w:p>
    <w:p>
      <w:pPr>
        <w:spacing w:before="0" w:after="0"/>
        <w:ind w:left="120"/>
        <w:jc w:val="center"/>
      </w:pPr>
      <w:r>
        <w:rPr>
          <w:rFonts w:ascii="Times New Roman" w:hAnsi="Times New Roman"/>
          <w:b w:val="false"/>
          <w:i w:val="false"/>
          <w:color w:val="000000"/>
          <w:sz w:val="21"/>
        </w:rPr>
        <w:t>[Filed 8/19/94, Notice 7/6/94—published 9/14/94, effective 10/19/94]</w:t>
      </w:r>
    </w:p>
    <w:p>
      <w:pPr>
        <w:spacing w:before="0" w:after="0"/>
        <w:ind w:left="120"/>
        <w:jc w:val="center"/>
      </w:pPr>
      <w:r>
        <w:rPr>
          <w:rFonts w:ascii="Times New Roman" w:hAnsi="Times New Roman"/>
          <w:b w:val="false"/>
          <w:i w:val="false"/>
          <w:color w:val="000000"/>
          <w:sz w:val="21"/>
        </w:rPr>
        <w:t>[Filed emergency 12/8/94—published 1/4/95, effective 12/8/94]</w:t>
      </w:r>
    </w:p>
    <w:p>
      <w:pPr>
        <w:spacing w:before="0" w:after="0"/>
        <w:ind w:left="120"/>
        <w:jc w:val="center"/>
      </w:pPr>
      <w:r>
        <w:rPr>
          <w:rFonts w:ascii="Times New Roman" w:hAnsi="Times New Roman"/>
          <w:b w:val="false"/>
          <w:i w:val="false"/>
          <w:color w:val="000000"/>
          <w:sz w:val="21"/>
        </w:rPr>
        <w:t>[Filed emergency 1/20/95—published 2/15/95, effective 1/20/95]</w:t>
      </w:r>
    </w:p>
    <w:p>
      <w:pPr>
        <w:spacing w:before="0" w:after="0"/>
        <w:ind w:left="120"/>
        <w:jc w:val="center"/>
      </w:pPr>
      <w:r>
        <w:rPr>
          <w:rFonts w:ascii="Times New Roman" w:hAnsi="Times New Roman"/>
          <w:b w:val="false"/>
          <w:i w:val="false"/>
          <w:color w:val="000000"/>
          <w:sz w:val="21"/>
        </w:rPr>
        <w:t>[Filed emergency 10/24/95 after Notice 8/16/95—published 11/8/95, effective 10/24/95]</w:t>
      </w:r>
    </w:p>
    <w:p>
      <w:pPr>
        <w:spacing w:before="0" w:after="0"/>
        <w:ind w:left="120"/>
        <w:jc w:val="center"/>
      </w:pPr>
      <w:r>
        <w:rPr>
          <w:rFonts w:ascii="Times New Roman" w:hAnsi="Times New Roman"/>
          <w:b w:val="false"/>
          <w:i w:val="false"/>
          <w:color w:val="000000"/>
          <w:sz w:val="21"/>
        </w:rPr>
        <w:t>[Filed emergency 10/18/96 after Notice 9/11/96—published 11/6/96, effective 10/18/96]</w:t>
      </w:r>
    </w:p>
    <w:p>
      <w:pPr>
        <w:spacing w:before="0" w:after="0"/>
        <w:ind w:left="120"/>
        <w:jc w:val="center"/>
      </w:pPr>
      <w:r>
        <w:rPr>
          <w:rFonts w:ascii="Times New Roman" w:hAnsi="Times New Roman"/>
          <w:b w:val="false"/>
          <w:i w:val="false"/>
          <w:color w:val="000000"/>
          <w:sz w:val="21"/>
        </w:rPr>
        <w:t>[Filed 10/23/97, Notice 9/10/97—published 11/19/97, effective 12/24/97]</w:t>
      </w:r>
    </w:p>
    <w:p>
      <w:pPr>
        <w:spacing w:before="0" w:after="0"/>
        <w:ind w:left="120"/>
        <w:jc w:val="center"/>
      </w:pPr>
      <w:r>
        <w:rPr>
          <w:rFonts w:ascii="Times New Roman" w:hAnsi="Times New Roman"/>
          <w:b w:val="false"/>
          <w:i w:val="false"/>
          <w:color w:val="000000"/>
          <w:sz w:val="21"/>
        </w:rPr>
        <w:t>[Filed 1/23/98, Notice 12/17/97—published 2/11/98, effective 3/18/98]</w:t>
      </w:r>
    </w:p>
    <w:p>
      <w:pPr>
        <w:spacing w:before="0" w:after="0"/>
        <w:ind w:left="120"/>
        <w:jc w:val="center"/>
      </w:pPr>
      <w:r>
        <w:rPr>
          <w:rFonts w:ascii="Times New Roman" w:hAnsi="Times New Roman"/>
          <w:b w:val="false"/>
          <w:i w:val="false"/>
          <w:color w:val="000000"/>
          <w:sz w:val="21"/>
        </w:rPr>
        <w:t>[Filed 8/20/98, Notice 7/15/98—published 9/9/98, effective 10/14/98]</w:t>
      </w:r>
    </w:p>
    <w:p>
      <w:pPr>
        <w:spacing w:before="0" w:after="0"/>
        <w:ind w:left="120"/>
        <w:jc w:val="center"/>
      </w:pPr>
      <w:r>
        <w:rPr>
          <w:rFonts w:ascii="Times New Roman" w:hAnsi="Times New Roman"/>
          <w:b w:val="false"/>
          <w:i w:val="false"/>
          <w:color w:val="000000"/>
          <w:sz w:val="21"/>
        </w:rPr>
        <w:t>[Filed 1/22/99, Notice 12/16/98—published 2/10/99, effective 3/17/99]</w:t>
      </w:r>
    </w:p>
    <w:p>
      <w:pPr>
        <w:spacing w:before="0" w:after="0"/>
        <w:ind w:left="120"/>
        <w:jc w:val="center"/>
      </w:pPr>
      <w:r>
        <w:rPr>
          <w:rFonts w:ascii="Times New Roman" w:hAnsi="Times New Roman"/>
          <w:b w:val="false"/>
          <w:i w:val="false"/>
          <w:color w:val="000000"/>
          <w:sz w:val="21"/>
        </w:rPr>
        <w:t>[Filed 4/28/99, Notice 3/10/99—published 5/19/99, effective 6/23/99]</w:t>
      </w:r>
    </w:p>
    <w:p>
      <w:pPr>
        <w:spacing w:before="0" w:after="0"/>
        <w:ind w:left="120"/>
        <w:jc w:val="center"/>
      </w:pPr>
      <w:r>
        <w:rPr>
          <w:rFonts w:ascii="Times New Roman" w:hAnsi="Times New Roman"/>
          <w:b w:val="false"/>
          <w:i w:val="false"/>
          <w:color w:val="000000"/>
          <w:sz w:val="21"/>
        </w:rPr>
        <w:t>[Filed emergency 7/22/99—published 8/11/99, effective 7/23/99]</w:t>
      </w:r>
    </w:p>
    <w:p>
      <w:pPr>
        <w:spacing w:before="0" w:after="0"/>
        <w:ind w:left="120"/>
        <w:jc w:val="center"/>
      </w:pPr>
      <w:r>
        <w:rPr>
          <w:rFonts w:ascii="Times New Roman" w:hAnsi="Times New Roman"/>
          <w:b w:val="false"/>
          <w:i w:val="false"/>
          <w:color w:val="000000"/>
          <w:sz w:val="21"/>
        </w:rPr>
        <w:t>[Filed 8/20/99, Notice 6/16/99—published 9/8/99, effective 10/13/99]</w:t>
      </w:r>
    </w:p>
    <w:p>
      <w:pPr>
        <w:spacing w:before="0" w:after="0"/>
        <w:ind w:left="120"/>
        <w:jc w:val="center"/>
      </w:pPr>
      <w:r>
        <w:rPr>
          <w:rFonts w:ascii="Times New Roman" w:hAnsi="Times New Roman"/>
          <w:b w:val="false"/>
          <w:i w:val="false"/>
          <w:color w:val="000000"/>
          <w:sz w:val="21"/>
        </w:rPr>
        <w:t>[Filed 9/16/99, Notice 8/11/99—published 10/6/99, effective 11/10/99]</w:t>
      </w:r>
    </w:p>
    <w:p>
      <w:pPr>
        <w:spacing w:before="0" w:after="0"/>
        <w:ind w:left="120"/>
        <w:jc w:val="center"/>
      </w:pPr>
      <w:r>
        <w:rPr>
          <w:rFonts w:ascii="Times New Roman" w:hAnsi="Times New Roman"/>
          <w:b w:val="false"/>
          <w:i w:val="false"/>
          <w:color w:val="000000"/>
          <w:sz w:val="21"/>
        </w:rPr>
        <w:t>[Filed 8/30/02, Notice 7/10/02—published 9/18/02, effective 10/23/02]</w:t>
      </w:r>
    </w:p>
    <w:p>
      <w:pPr>
        <w:spacing w:before="0" w:after="0"/>
        <w:ind w:left="120"/>
        <w:jc w:val="center"/>
      </w:pPr>
      <w:r>
        <w:rPr>
          <w:rFonts w:ascii="Times New Roman" w:hAnsi="Times New Roman"/>
          <w:b w:val="false"/>
          <w:i w:val="false"/>
          <w:color w:val="000000"/>
          <w:sz w:val="21"/>
        </w:rPr>
        <w:t>[Filed emergency 11/20/03—published 12/24/03, effective 1/1/04]</w:t>
      </w:r>
    </w:p>
    <w:p>
      <w:pPr>
        <w:spacing w:before="0" w:after="0"/>
        <w:ind w:left="120"/>
        <w:jc w:val="center"/>
      </w:pPr>
      <w:r>
        <w:rPr>
          <w:rFonts w:ascii="Times New Roman" w:hAnsi="Times New Roman"/>
          <w:b w:val="false"/>
          <w:i w:val="false"/>
          <w:color w:val="000000"/>
          <w:sz w:val="21"/>
        </w:rPr>
        <w:t>[Filed 2/23/04, Notice 12/24/03—published 3/17/04, effective 4/21/04]</w:t>
      </w:r>
    </w:p>
    <w:p>
      <w:pPr>
        <w:spacing w:before="0" w:after="0"/>
        <w:ind w:left="120"/>
        <w:jc w:val="center"/>
      </w:pPr>
      <w:r>
        <w:rPr>
          <w:rFonts w:ascii="Times New Roman" w:hAnsi="Times New Roman"/>
          <w:b w:val="false"/>
          <w:i w:val="false"/>
          <w:color w:val="000000"/>
          <w:sz w:val="21"/>
        </w:rPr>
        <w:t>[Filed 3/19/04, Notice 2/4/04—published 4/14/04, effective 5/19/04]</w:t>
      </w:r>
    </w:p>
    <w:p>
      <w:pPr>
        <w:spacing w:before="0" w:after="0"/>
        <w:ind w:left="120"/>
        <w:jc w:val="center"/>
      </w:pPr>
      <w:r>
        <w:rPr>
          <w:rFonts w:ascii="Times New Roman" w:hAnsi="Times New Roman"/>
          <w:b w:val="false"/>
          <w:i w:val="false"/>
          <w:color w:val="000000"/>
          <w:sz w:val="21"/>
        </w:rPr>
        <w:t>[Filed 12/16/04, Notice 8/4/04—published 1/19/05, effective 2/23/05]</w:t>
      </w:r>
    </w:p>
    <w:p>
      <w:pPr>
        <w:spacing w:before="0" w:after="0"/>
        <w:ind w:left="120"/>
        <w:jc w:val="center"/>
      </w:pPr>
      <w:r>
        <w:rPr>
          <w:rFonts w:ascii="Times New Roman" w:hAnsi="Times New Roman"/>
          <w:b w:val="false"/>
          <w:i w:val="false"/>
          <w:color w:val="000000"/>
          <w:sz w:val="21"/>
        </w:rPr>
        <w:t>[Filed 4/21/06, Notice 2/15/06—published 5/10/06, effective 6/14/06]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9/26/08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11/26/08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7970B, IAB 7/15/09, effective 7/1/09]</w:t>
      </w:r>
    </w:p>
    <w:p>
      <w:pPr>
        <w:spacing w:before="0" w:after="0"/>
        <w:ind w:left="120"/>
        <w:jc w:val="center"/>
      </w:pPr>
      <w:r>
        <w:rPr>
          <w:rFonts w:ascii="Times New Roman" w:hAnsi="Times New Roman"/>
          <w:b w:val="false"/>
          <w:i w:val="false"/>
          <w:color w:val="000000"/>
          <w:sz w:val="21"/>
        </w:rPr>
        <w:t>[Filed ARC 8145B</w:t>
      </w:r>
      <w:r>
        <w:rPr>
          <w:rFonts w:ascii="Times New Roman" w:hAnsi="Times New Roman"/>
          <w:b w:val="false"/>
          <w:i w:val="false"/>
          <w:color w:val="000000"/>
          <w:sz w:val="21"/>
        </w:rPr>
        <w:t xml:space="preserve"> (Notice ARC 7971B, IAB 7/15/09)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2038C</w:t>
      </w:r>
      <w:r>
        <w:rPr>
          <w:rFonts w:ascii="Times New Roman" w:hAnsi="Times New Roman"/>
          <w:b w:val="false"/>
          <w:i w:val="false"/>
          <w:color w:val="000000"/>
          <w:sz w:val="21"/>
        </w:rPr>
        <w:t xml:space="preserve"> (Notice ARC 1890C, IAB 3/4/15)</w:t>
      </w:r>
      <w:r>
        <w:rPr>
          <w:rFonts w:ascii="Times New Roman" w:hAnsi="Times New Roman"/>
          <w:b w:val="false"/>
          <w:i w:val="false"/>
          <w:color w:val="000000"/>
          <w:sz w:val="21"/>
        </w:rPr>
        <w:t>, IAB 6/24/15, effective 7/29/15]</w:t>
      </w:r>
    </w:p>
    <w:p>
      <w:pPr>
        <w:spacing w:before="0" w:after="0"/>
        <w:ind w:left="120"/>
        <w:jc w:val="center"/>
      </w:pPr>
      <w:r>
        <w:rPr>
          <w:rFonts w:ascii="Times New Roman" w:hAnsi="Times New Roman"/>
          <w:b w:val="false"/>
          <w:i w:val="false"/>
          <w:color w:val="000000"/>
          <w:sz w:val="21"/>
        </w:rPr>
        <w:t>[Filed ARC 6241C</w:t>
      </w:r>
      <w:r>
        <w:rPr>
          <w:rFonts w:ascii="Times New Roman" w:hAnsi="Times New Roman"/>
          <w:b w:val="false"/>
          <w:i w:val="false"/>
          <w:color w:val="000000"/>
          <w:sz w:val="21"/>
        </w:rPr>
        <w:t xml:space="preserve"> (Notice ARC 6139C, IAB 1/12/22)</w:t>
      </w:r>
      <w:r>
        <w:rPr>
          <w:rFonts w:ascii="Times New Roman" w:hAnsi="Times New Roman"/>
          <w:b w:val="false"/>
          <w:i w:val="false"/>
          <w:color w:val="000000"/>
          <w:sz w:val="21"/>
        </w:rPr>
        <w:t>, IAB 3/9/22, effective 4/13/22]</w:t>
      </w:r>
    </w:p>
    <w:p>
      <w:pPr>
        <w:pBdr>
          <w:bottom w:space="2"/>
        </w:pBdr>
        <w:spacing w:before="0" w:after="0"/>
        <w:ind w:left="120"/>
        <w:jc w:val="both"/>
      </w:pPr>
      <w:r>
        <w:rPr>
          <w:rFonts w:ascii="Times New Roman" w:hAnsi="Times New Roman"/>
          <w:b w:val="false"/>
          <w:i w:val="false"/>
          <w:color w:val="000000"/>
          <w:sz w:val="22"/>
        </w:rPr>
        <w:t>See IAB Economic Development Department.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ac/rule/261.23.4.pdf" Type="http://schemas.openxmlformats.org/officeDocument/2006/relationships/hyperlink" Id="rId6"/>
    <Relationship TargetMode="External" Target="https://www.legis.iowa.gov/docs/iac/rule/261.23.5.pdf" Type="http://schemas.openxmlformats.org/officeDocument/2006/relationships/hyperlink" Id="rId7"/>
    <Relationship TargetMode="External" Target="https://www.legis.iowa.gov/docs/ico/chapter/15.108.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