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SPORTS TOURISM PROGRAM: INFRASTRUCTURE FUND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261—216.1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colleges and universities” </w:t>
      </w:r>
      <w:r>
        <w:rPr>
          <w:rFonts w:ascii="Times New Roman" w:hAnsi="Times New Roman"/>
          <w:b w:val="false"/>
          <w:i w:val="false"/>
          <w:color w:val="000000"/>
          <w:sz w:val="22"/>
        </w:rPr>
        <w:t>means any college, university, or institution of higher learning that is accredited by the Higher Learning Commission or any other college, university, or institution of higher learning that is accredited by an accrediting agency that is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“Bid fees” </w:t>
      </w:r>
      <w:r>
        <w:rPr>
          <w:rFonts w:ascii="Times New Roman" w:hAnsi="Times New Roman"/>
          <w:b w:val="false"/>
          <w:i w:val="false"/>
          <w:color w:val="000000"/>
          <w:sz w:val="22"/>
        </w:rPr>
        <w:t>means fees paid as part of proposing a location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economic development authority board as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“Convention and visitors bureau”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“CVB” </w:t>
      </w:r>
      <w:r>
        <w:rPr>
          <w:rFonts w:ascii="Times New Roman" w:hAnsi="Times New Roman"/>
          <w:b w:val="false"/>
          <w:i w:val="false"/>
          <w:color w:val="000000"/>
          <w:sz w:val="22"/>
        </w:rPr>
        <w:t>means an organization engaged primarily in the marketing and promotion of a local community or communities to businesses and to leisure travelers interested in the area’s facilities. Such organizations are typically engaged in a wide range of activities including but not limited to assisting businesses and leisure travelers in identifying meeting locations and convention sites; providing maps and other travel information; providing information on local attractions, lodging, and restaurants; and organizing tours of local historical, recreational, and cultural attractions.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 xml:space="preserve">means a regional sports authority district certified under Iowa Code section </w:t>
      </w:r>
      <w:hyperlink r:id="rId7">
        <w:r>
          <w:rPr>
            <w:rStyle w:val="Hyperlink"/>
            <w:rFonts w:ascii="Times New Roman" w:hAnsi="Times New Roman"/>
            <w:b w:val="false"/>
            <w:i w:val="false"/>
            <w:color w:val="000000"/>
            <w:sz w:val="22"/>
          </w:rPr>
          <w:t>15E.321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assistance provided only from the funds available to the authority or the board and includes assistance in the form of grants, loans, and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w:t>
      </w:r>
      <w:r>
        <w:rPr>
          <w:rFonts w:ascii="Times New Roman" w:hAnsi="Times New Roman"/>
          <w:b w:val="false"/>
          <w:i w:val="false"/>
          <w:color w:val="000000"/>
          <w:sz w:val="22"/>
        </w:rPr>
        <w:t>means land acquisition and construction; major renovations of buildings; and all appurtenant structures, utilities, and site development that are related to the operation of a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“Infrastructure fund” </w:t>
      </w:r>
      <w:r>
        <w:rPr>
          <w:rFonts w:ascii="Times New Roman" w:hAnsi="Times New Roman"/>
          <w:b w:val="false"/>
          <w:i w:val="false"/>
          <w:color w:val="000000"/>
          <w:sz w:val="22"/>
        </w:rPr>
        <w:t>means the fund established pursuant to Iowa Code section 15F.404 for purposes of financing sports tourism infrastructure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w:t>
      </w:r>
      <w:r>
        <w:rPr>
          <w:rFonts w:ascii="Times New Roman" w:hAnsi="Times New Roman"/>
          <w:b w:val="false"/>
          <w:i w:val="false"/>
          <w:color w:val="000000"/>
          <w:sz w:val="22"/>
        </w:rPr>
        <w:t>means planning for or implementing efforts to publicize a sporting event using a range of strategies, tools, and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means a corporation, conference, association, or other organization which has as one of its primary purposes the sponsoring or administration of extracurricular intercollegiate athletic contests or competitions, or professional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“Professional sporting events” </w:t>
      </w:r>
      <w:r>
        <w:rPr>
          <w:rFonts w:ascii="Times New Roman" w:hAnsi="Times New Roman"/>
          <w:b w:val="false"/>
          <w:i w:val="false"/>
          <w:color w:val="000000"/>
          <w:sz w:val="22"/>
        </w:rPr>
        <w:t>means any sporting events for which the competing athletes receive payment for their participation in such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portion of the sports tourism marketing and infrastructure program administered pursuant to this chapter and funded by the infrastructure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“Promote”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“promotion” </w:t>
      </w:r>
      <w:r>
        <w:rPr>
          <w:rFonts w:ascii="Times New Roman" w:hAnsi="Times New Roman"/>
          <w:b w:val="false"/>
          <w:i w:val="false"/>
          <w:color w:val="000000"/>
          <w:sz w:val="22"/>
        </w:rPr>
        <w:t>means to undertake specific identifiable actions that encourage greater awareness of and attendance at a sporting event. This includes the planning, organizing, advertising, marketing, managing, hosting, and sponsoring of a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organization” </w:t>
      </w:r>
      <w:r>
        <w:rPr>
          <w:rFonts w:ascii="Times New Roman" w:hAnsi="Times New Roman"/>
          <w:b w:val="false"/>
          <w:i w:val="false"/>
          <w:color w:val="000000"/>
          <w:sz w:val="22"/>
        </w:rPr>
        <w:t>means a not-for-profit economic development organization or other not-for-profit organization including one that sponsors or supports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“Sporting event”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“Sports tourism program review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the committee established by Iowa Code section </w:t>
      </w:r>
      <w:hyperlink r:id="rId8">
        <w:r>
          <w:rPr>
            <w:rStyle w:val="Hyperlink"/>
            <w:rFonts w:ascii="Times New Roman" w:hAnsi="Times New Roman"/>
            <w:b w:val="false"/>
            <w:i w:val="false"/>
            <w:color w:val="000000"/>
            <w:sz w:val="22"/>
          </w:rPr>
          <w:t>15F.402(2)</w:t>
        </w:r>
      </w:hyperlink>
      <w:r>
        <w:rPr>
          <w:rFonts w:ascii="Times New Roman" w:hAnsi="Times New Roman"/>
          <w:b w:val="false"/>
          <w:i w:val="false"/>
          <w:color w:val="000000"/>
          <w:sz w:val="22"/>
        </w:rPr>
        <w:t xml:space="preserve"> and shall consist of members of the board, with one member from each congressional district under Iowa Code section </w:t>
      </w:r>
      <w:hyperlink r:id="rId9">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one member from the state at large under Iowa Code section </w:t>
      </w:r>
      <w:hyperlink r:id="rId10">
        <w:r>
          <w:rPr>
            <w:rStyle w:val="Hyperlink"/>
            <w:rFonts w:ascii="Times New Roman" w:hAnsi="Times New Roman"/>
            <w:b w:val="false"/>
            <w:i w:val="false"/>
            <w:color w:val="000000"/>
            <w:sz w:val="22"/>
          </w:rPr>
          <w:t>15F.102(2)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Eligible applicants for financial assistance from the infrastructure fund include cities and counties in the state and public entities that are a convention and visitors bureau or a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infrastructure projects. </w:t>
      </w:r>
      <w:r>
        <w:rPr>
          <w:rFonts w:ascii="Times New Roman" w:hAnsi="Times New Roman"/>
          <w:b w:val="false"/>
          <w:i w:val="false"/>
          <w:color w:val="000000"/>
          <w:sz w:val="22"/>
        </w:rPr>
        <w:t xml:space="preserve">Eligible projects must actively and directly support sporting events for accredited colleges and universities, professional sporting events, and other sporting events in the area served by an eligible applicant as defined in rule </w:t>
      </w:r>
      <w:hyperlink r:id="rId11">
        <w:r>
          <w:rPr>
            <w:rStyle w:val="Hyperlink"/>
            <w:rFonts w:ascii="Times New Roman" w:hAnsi="Times New Roman"/>
            <w:b w:val="false"/>
            <w:i w:val="false"/>
            <w:color w:val="000000"/>
            <w:sz w:val="22"/>
          </w:rPr>
          <w:t>261—216.2</w:t>
        </w:r>
      </w:hyperlink>
      <w:r>
        <w:rPr>
          <w:rFonts w:ascii="Times New Roman" w:hAnsi="Times New Roman"/>
          <w:b w:val="false"/>
          <w:i w:val="false"/>
          <w:color w:val="000000"/>
          <w:sz w:val="22"/>
        </w:rPr>
        <w:t>(15F). Only projects that support sporting events occurring in Iowa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val="false"/>
          <w:color w:val="000000"/>
          <w:sz w:val="22"/>
        </w:rPr>
        <w:t>An eligible applicant may apply for and receive financial assistance for more than one project. The board may require additional information to substantiate the financial need for awarding more than one project in any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applicant may apply for financial assistance for a project that spans two fiscal years. If financial assistance is approved for two fiscal years, financial assistance will only be provided for the second fiscal year if all applicable contractual requirements are met. 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2">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convention and visitors bureau shall not in the same fiscal year receive financial assistance under the program created in this chapter and financial assistance as part of a district created pursuant to </w:t>
      </w:r>
      <w:hyperlink r:id="rId13">
        <w:r>
          <w:rPr>
            <w:rStyle w:val="Hyperlink"/>
            <w:rFonts w:ascii="Times New Roman" w:hAnsi="Times New Roman"/>
            <w:b w:val="false"/>
            <w:i w:val="false"/>
            <w:color w:val="000000"/>
            <w:sz w:val="22"/>
          </w:rPr>
          <w:t>261—Chapter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216.3(4)</w:t>
      </w:r>
      <w:r>
        <w:rPr>
          <w:rFonts w:ascii="Times New Roman" w:hAnsi="Times New Roman"/>
          <w:b w:val="false"/>
          <w:i w:val="false"/>
          <w:color w:val="000000"/>
          <w:sz w:val="22"/>
        </w:rPr>
        <w:t> </w:t>
      </w:r>
      <w:r>
        <w:rPr>
          <w:rFonts w:ascii="Times New Roman" w:hAnsi="Times New Roman"/>
          <w:b w:val="false"/>
          <w:i w:val="false"/>
          <w:color w:val="000000"/>
          <w:sz w:val="22"/>
        </w:rPr>
        <w:t>An eligible applicant shall demonstrate the availability of matching funds for financing the sports tourism infrastructure project in the form of a private and public partnership with financing from city, county, and private sources in order to receive financial assistance pursuant to this rule. The amount of matching funds that may be required shall be at the board’s discretion. An applicant under the program shall not receive financial assistance in an amount exceeding 50 percent of the total cost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216.3(5)</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may use financial assistance received under the program for infrastructure that actively and directly supports a sporting event. Whether an activity or individual cost item is related to the sporting event shall be within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216.3(6)</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organization shall not use financial assistance received under the program as reimbursement for completed projects or for costs incurred prior to approval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216.3(7)</w:t>
      </w:r>
      <w:r>
        <w:rPr>
          <w:rFonts w:ascii="Times New Roman" w:hAnsi="Times New Roman"/>
          <w:b w:val="false"/>
          <w:i w:val="false"/>
          <w:color w:val="000000"/>
          <w:sz w:val="22"/>
        </w:rPr>
        <w:t> </w:t>
      </w:r>
      <w:r>
        <w:rPr>
          <w:rFonts w:ascii="Times New Roman" w:hAnsi="Times New Roman"/>
          <w:b w:val="false"/>
          <w:i w:val="false"/>
          <w:color w:val="000000"/>
          <w:sz w:val="22"/>
        </w:rPr>
        <w:t>Financial assistance shall be provided for sports tourism infrastructure projects that draw a national and international audience and attract a significant number of visitors from outside the state. Factors the authority will consider in determining whether a project is qualified under this subrule include, but are not limited to, whether the likelihood of a national or international audience is validated by any available data about the anticipated audiences for the event, whether the event is nationally or internationally televised, and projected visitor information or visitor information for similar events held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216.3(8)</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assistance shall not be provided for sports tourism infrastructure projects located in reinvestment districts as defined and approved by the authority pursuant to Iowa Code section </w:t>
      </w:r>
      <w:hyperlink r:id="rId14">
        <w:r>
          <w:rPr>
            <w:rStyle w:val="Hyperlink"/>
            <w:rFonts w:ascii="Times New Roman" w:hAnsi="Times New Roman"/>
            <w:b w:val="false"/>
            <w:i w:val="false"/>
            <w:color w:val="000000"/>
            <w:sz w:val="22"/>
          </w:rPr>
          <w:t>15J.4</w:t>
        </w:r>
      </w:hyperlink>
      <w:r>
        <w:rPr>
          <w:rFonts w:ascii="Times New Roman" w:hAnsi="Times New Roman"/>
          <w:b w:val="false"/>
          <w:i w:val="false"/>
          <w:color w:val="000000"/>
          <w:sz w:val="22"/>
        </w:rPr>
        <w:t xml:space="preserve"> or to applicants that have received a rebate of sales tax imposed and collected by retailers pursuant to Iowa Code section </w:t>
      </w:r>
      <w:hyperlink r:id="rId15">
        <w:r>
          <w:rPr>
            <w:rStyle w:val="Hyperlink"/>
            <w:rFonts w:ascii="Times New Roman" w:hAnsi="Times New Roman"/>
            <w:b w:val="false"/>
            <w:i w:val="false"/>
            <w:color w:val="000000"/>
            <w:sz w:val="22"/>
          </w:rPr>
          <w:t>423.4(5)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and ineligible infrastructure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Examples of 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Major renovation of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Site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Permanent or temporary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Purchase or long-term lease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sporting events or are not considered infrastructure will be ineligible for reimbursement under the program. Examples of ineligible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Bid fees, rights fees, solicitation efforts, or lobbying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costs or compensation of applicant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eligible for financial assistance from the sports tourism marketing fund pursuant to 261—subrule </w:t>
      </w:r>
      <w:hyperlink r:id="rId16">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(1) or other costs associated with marketing or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operational costs not specifically related to sporting events;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261—216.5</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program, an application must meet the following threshold 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216.5(2)</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a detailed description of the project, outlining the sporting event(s) and the infrastructure expenses necessary to support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216.5(3)</w:t>
      </w:r>
      <w:r>
        <w:rPr>
          <w:rFonts w:ascii="Times New Roman" w:hAnsi="Times New Roman"/>
          <w:b w:val="false"/>
          <w:i w:val="false"/>
          <w:color w:val="000000"/>
          <w:sz w:val="22"/>
        </w:rPr>
        <w:t> </w:t>
      </w:r>
      <w:r>
        <w:rPr>
          <w:rFonts w:ascii="Times New Roman" w:hAnsi="Times New Roman"/>
          <w:b w:val="false"/>
          <w:i w:val="false"/>
          <w:color w:val="000000"/>
          <w:sz w:val="22"/>
        </w:rPr>
        <w:t>The proposed project budget must be spent on infrastructure that actively and directly supports the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216.5(4)</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detailed information and projections sufficient to enable the authority to accurately assess the economic impact of the sporting event(s) described in the application. Such information shall include the estimated number of spectators and estimated quality and quantity of advertising and media coverage the sporting event(s) will generate. If the applicant has previously held substantially similar events, the information shall include actual attendance figures from past events and a summary of the advertising and media coverage generated.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When reviewing the applications, the review committee and the authority shall consider, at a minimum,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Impact of the project on the local, regional, and state economies.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 of positive advertising or media coverage the project generates in national and international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Quality, size, and scope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would generate additional recreational and cultural attractions or tourism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sporting event to be supported by the infrastructure project is unique, innovative, or diverse.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recommendations of the review committee, the board shall make final funding decisions on each application. The board may approve, defer, deny, or modify applications for financial assistance under the program, in its discretion, in order to fund as many projects with the moneys available as possible. The board and the authority may negotiate with applicants regarding the details of projects and the amount and terms of any award. In making final funding decisions pursuant to this subrule, the board and the authority are exempt from Iowa Code chapter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261—216.7</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applicant receiving an award of financial assistance from the board shall enter into an agreement with the authority. The agreement shall contain such terms and conditions as the board may place on the award or the authority may deem necessary for the efficient administration of the program established in this chapter. The agreement will also include the terms and conditions under which financial assistance must be repaid or penalties incurred in the event the applicant does not fulfill all obligations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These rules and applicable state laws shall be part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execute and return the contract to the board within 90 days of the transmittal of the final contract from the board.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Financial assistance shall not be provided until all financing for the sports tourism infrastructure project is secured and documented to the satisfaction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authority receipt and board approval of an implementation plan for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An applicant receiving financial assistance shall provide an annual report to the authority for years in which the applicant receives financial assistance under this rule. The report shall include the information the authority deems relevant. The report shall be submitted in the manner and on forms prescribed by the authority. The authority may perform any reviews or site visits necessary to ensure performance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216.7(3)</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$500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216.7(4)</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The recipient shall retain all financial records, supporting documents, and other records pertinent to the sports tourism award for three years after contract closeout. Representatives of the authority shall have access to all recipient records that pertain to sports tourism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approved by the board. The authority may execute nonsubstantive or ministerial changes to the contract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216.7(6)</w:t>
      </w:r>
      <w:r>
        <w:rPr>
          <w:rFonts w:ascii="Times New Roman" w:hAnsi="Times New Roman"/>
          <w:b w:val="false"/>
          <w:i w:val="false"/>
          <w:color w:val="000000"/>
          <w:sz w:val="22"/>
        </w:rPr>
        <w:t> </w:t>
      </w:r>
      <w:r>
        <w:rPr>
          <w:rFonts w:ascii="Times New Roman" w:hAnsi="Times New Roman"/>
          <w:b w:val="false"/>
          <w:i/>
          <w:color w:val="000000"/>
          <w:sz w:val="22"/>
        </w:rPr>
        <w:t xml:space="preserve">Project closeout. </w:t>
      </w:r>
      <w:r>
        <w:rPr>
          <w:rFonts w:ascii="Times New Roman" w:hAnsi="Times New Roman"/>
          <w:b w:val="false"/>
          <w:i w:val="false"/>
          <w:color w:val="000000"/>
          <w:sz w:val="22"/>
        </w:rPr>
        <w:t>Upon expiration of the agreement, the authority shall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216.7(7)</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If the board finds that an applicant is not in compliance with the requirements of this program or the terms and conditions of the agreement, the board may find the applicant noncompliant. Remedies for noncompliance may include penalties up to and including the return of program funds to the board. Reasons for a finding of noncompliance include but are not limited to the applicant’s use of funds for activities not described in the contract, the applicant’s failure to complete funded projects in a timely manner, the applicant’s failure to comply with applicable state or local rules, or the lack of a continuing capacity of the applicant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6612C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8">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15F.402</w:t>
        </w:r>
      </w:hyperlink>
      <w:r>
        <w:rPr>
          <w:rFonts w:ascii="Times New Roman" w:hAnsi="Times New Roman"/>
          <w:b w:val="false"/>
          <w:i w:val="false"/>
          <w:color w:val="000000"/>
          <w:sz w:val="22"/>
        </w:rPr>
        <w:t xml:space="preserve">, and 15F.404 and </w:t>
      </w:r>
      <w:r>
        <w:rPr>
          <w:rFonts w:ascii="Times New Roman" w:hAnsi="Times New Roman"/>
          <w:b w:val="false"/>
          <w:i w:val="false"/>
          <w:color w:val="000000"/>
          <w:sz w:val="22"/>
        </w:rPr>
        <w:t>2022 Iowa Acts, House File 2579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[Editorial change: IAC Supplement 7/10/24]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E.321.pdf" Type="http://schemas.openxmlformats.org/officeDocument/2006/relationships/hyperlink" Id="rId7"/>
    <Relationship TargetMode="External" Target="https://www.legis.iowa.gov/docs/ico/chapter/15F.402.pdf" Type="http://schemas.openxmlformats.org/officeDocument/2006/relationships/hyperlink" Id="rId8"/>
    <Relationship TargetMode="External" Target="https://www.legis.iowa.gov/docs/ico/chapter/15F.102.pdf" Type="http://schemas.openxmlformats.org/officeDocument/2006/relationships/hyperlink" Id="rId9"/>
    <Relationship TargetMode="External" Target="https://www.legis.iowa.gov/docs/ico/chapter/15F.102.pdf" Type="http://schemas.openxmlformats.org/officeDocument/2006/relationships/hyperlink" Id="rId10"/>
    <Relationship TargetMode="External" Target="https://www.legis.iowa.gov/docs/iac/rule/261.216.2.pdf" Type="http://schemas.openxmlformats.org/officeDocument/2006/relationships/hyperlink" Id="rId11"/>
    <Relationship TargetMode="External" Target="https://www.legis.iowa.gov/docs/ico/chapter/15F.401.pdf" Type="http://schemas.openxmlformats.org/officeDocument/2006/relationships/hyperlink" Id="rId12"/>
    <Relationship TargetMode="External" Target="https://www.legis.iowa.gov/docs/iac/chapter/261.38.pdf" Type="http://schemas.openxmlformats.org/officeDocument/2006/relationships/hyperlink" Id="rId13"/>
    <Relationship TargetMode="External" Target="https://www.legis.iowa.gov/docs/ico/chapter/15J.4.pdf" Type="http://schemas.openxmlformats.org/officeDocument/2006/relationships/hyperlink" Id="rId14"/>
    <Relationship TargetMode="External" Target="https://www.legis.iowa.gov/docs/ico/chapter/423.4.pdf" Type="http://schemas.openxmlformats.org/officeDocument/2006/relationships/hyperlink" Id="rId15"/>
    <Relationship TargetMode="External" Target="https://www.legis.iowa.gov/docs/iac/rule/261.215.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15F.401.pdf" Type="http://schemas.openxmlformats.org/officeDocument/2006/relationships/hyperlink" Id="rId18"/>
    <Relationship TargetMode="External" Target="https://www.legis.iowa.gov/docs/ico/chapter/15F.402.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