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215</w:t>
      </w:r>
    </w:p>
    <w:p>
      <w:pPr>
        <w:spacing w:before="0" w:after="0"/>
        <w:ind w:left="120"/>
        <w:jc w:val="center"/>
      </w:pPr>
      <w:r>
        <w:rPr>
          <w:rFonts w:ascii="Times New Roman" w:hAnsi="Times New Roman"/>
          <w:b w:val="false"/>
          <w:i w:val="false"/>
          <w:color w:val="000000"/>
          <w:sz w:val="21"/>
        </w:rPr>
        <w:t>SPORTS TOURISM PROGRAM: MARKETING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261—215.1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colleges and universities” </w:t>
      </w:r>
      <w:r>
        <w:rPr>
          <w:rFonts w:ascii="Times New Roman" w:hAnsi="Times New Roman"/>
          <w:b w:val="false"/>
          <w:i w:val="false"/>
          <w:color w:val="000000"/>
          <w:sz w:val="22"/>
        </w:rPr>
        <w:t>means any college, university, or institution of higher learning that is accredited by the Higher Learning Commission or any other college, university, or institution of higher learning that is accredited by an accrediting agency that is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fees” </w:t>
      </w:r>
      <w:r>
        <w:rPr>
          <w:rFonts w:ascii="Times New Roman" w:hAnsi="Times New Roman"/>
          <w:b w:val="false"/>
          <w:i w:val="false"/>
          <w:color w:val="000000"/>
          <w:sz w:val="22"/>
        </w:rPr>
        <w:t>means fees paid as part of proposing a location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as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a regional sports authority district certified under Iowa Code section </w:t>
      </w:r>
      <w:hyperlink r:id="rId7">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available to the authority or the board and includes assistance in the form of grants, loans, and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land acquisition and construction; major renovations of buildings; and all appurtenant structures, utilities, and site development that are related to the operation of a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sporting event using a range of strategies, tools and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fund” </w:t>
      </w:r>
      <w:r>
        <w:rPr>
          <w:rFonts w:ascii="Times New Roman" w:hAnsi="Times New Roman"/>
          <w:b w:val="false"/>
          <w:i w:val="false"/>
          <w:color w:val="000000"/>
          <w:sz w:val="22"/>
        </w:rPr>
        <w:t xml:space="preserve">means the fund established pursuant to Iowa Code section </w:t>
      </w:r>
      <w:hyperlink r:id="rId8">
        <w:r>
          <w:rPr>
            <w:rStyle w:val="Hyperlink"/>
            <w:rFonts w:ascii="Times New Roman" w:hAnsi="Times New Roman"/>
            <w:b w:val="false"/>
            <w:i w:val="false"/>
            <w:color w:val="000000"/>
            <w:sz w:val="22"/>
          </w:rPr>
          <w:t>15F.403</w:t>
        </w:r>
      </w:hyperlink>
      <w:r>
        <w:rPr>
          <w:rFonts w:ascii="Times New Roman" w:hAnsi="Times New Roman"/>
          <w:b w:val="false"/>
          <w:i w:val="false"/>
          <w:color w:val="000000"/>
          <w:sz w:val="22"/>
        </w:rPr>
        <w:t xml:space="preserve"> for purposes of financing sports tourism marketing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corporation, conference, association, or other organization which has as one of its primary purposes the sponsoring or administration of extracurricular intercollegiate athletic contests or competitions, or professional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sporting events” </w:t>
      </w:r>
      <w:r>
        <w:rPr>
          <w:rFonts w:ascii="Times New Roman" w:hAnsi="Times New Roman"/>
          <w:b w:val="false"/>
          <w:i w:val="false"/>
          <w:color w:val="000000"/>
          <w:sz w:val="22"/>
        </w:rPr>
        <w:t>means any sporting events for which the competing athletes receive payment for their participation in such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portion of the sports tourism marketing and infrastructure program administered pursuant to this chapter and funded by the marketing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to undertake specific identifiable actions that encourage greater awareness of and attendance at a sporting event. This includes the planning, organizing, advertising, marketing, managing, hosting, and sponsoring of a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Iowa Code section </w:t>
      </w:r>
      <w:hyperlink r:id="rId9">
        <w:r>
          <w:rPr>
            <w:rStyle w:val="Hyperlink"/>
            <w:rFonts w:ascii="Times New Roman" w:hAnsi="Times New Roman"/>
            <w:b w:val="false"/>
            <w:i w:val="false"/>
            <w:color w:val="000000"/>
            <w:sz w:val="22"/>
          </w:rPr>
          <w:t>15F.402(2)</w:t>
        </w:r>
      </w:hyperlink>
      <w:r>
        <w:rPr>
          <w:rFonts w:ascii="Times New Roman" w:hAnsi="Times New Roman"/>
          <w:b w:val="false"/>
          <w:i w:val="false"/>
          <w:color w:val="000000"/>
          <w:sz w:val="22"/>
        </w:rPr>
        <w:t xml:space="preserve"> and shall consist of members of the board, with one member from each congressional district under Iowa Code section </w:t>
      </w:r>
      <w:hyperlink r:id="rId10">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member from the state at large under Iowa Code section </w:t>
      </w:r>
      <w:hyperlink r:id="rId11">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financial assistance from the marketing fund include cities or counties in the state or public organizations, including convention and visitors bureaus.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marketing projects. </w:t>
      </w:r>
      <w:r>
        <w:rPr>
          <w:rFonts w:ascii="Times New Roman" w:hAnsi="Times New Roman"/>
          <w:b w:val="false"/>
          <w:i w:val="false"/>
          <w:color w:val="000000"/>
          <w:sz w:val="22"/>
        </w:rPr>
        <w:t xml:space="preserve">Eligible projects must actively and directly promote sporting events for accredited colleges and universities, professional sporting events, and other sporting events in the area served by an eligible applicant as defined in rule </w:t>
      </w:r>
      <w:hyperlink r:id="rId12">
        <w:r>
          <w:rPr>
            <w:rStyle w:val="Hyperlink"/>
            <w:rFonts w:ascii="Times New Roman" w:hAnsi="Times New Roman"/>
            <w:b w:val="false"/>
            <w:i w:val="false"/>
            <w:color w:val="000000"/>
            <w:sz w:val="22"/>
          </w:rPr>
          <w:t>261—215.2</w:t>
        </w:r>
      </w:hyperlink>
      <w:r>
        <w:rPr>
          <w:rFonts w:ascii="Times New Roman" w:hAnsi="Times New Roman"/>
          <w:b w:val="false"/>
          <w:i w:val="false"/>
          <w:color w:val="000000"/>
          <w:sz w:val="22"/>
        </w:rPr>
        <w:t>(15F). Only projects that promote sporting events occurring in Iowa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apply for and receive financial assistance for more than one project. The board may require additional information to substantiate the financial need for awarding more than one project in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may apply for financial assistance for a project that spans two fiscal years. If financial assistance is approved for two fiscal years, financial assistance will only be provided for the second fiscal year if all applicable contractual requirements are met. 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3">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convention and visitors bureau shall not in the same fiscal year receive financial assistance under the program created in this chapter and financial assistance as part of a district created pursuant to </w:t>
      </w:r>
      <w:hyperlink r:id="rId14">
        <w:r>
          <w:rPr>
            <w:rStyle w:val="Hyperlink"/>
            <w:rFonts w:ascii="Times New Roman" w:hAnsi="Times New Roman"/>
            <w:b w:val="false"/>
            <w:i w:val="false"/>
            <w:color w:val="000000"/>
            <w:sz w:val="22"/>
          </w:rPr>
          <w:t>261—Chapter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215.3(4)</w:t>
      </w:r>
      <w:r>
        <w:rPr>
          <w:rFonts w:ascii="Times New Roman" w:hAnsi="Times New Roman"/>
          <w:b w:val="false"/>
          <w:i w:val="false"/>
          <w:color w:val="000000"/>
          <w:sz w:val="22"/>
        </w:rPr>
        <w:t> </w:t>
      </w:r>
      <w:r>
        <w:rPr>
          <w:rFonts w:ascii="Times New Roman" w:hAnsi="Times New Roman"/>
          <w:b w:val="false"/>
          <w:i w:val="false"/>
          <w:color w:val="000000"/>
          <w:sz w:val="22"/>
        </w:rPr>
        <w:t>An eligible applicant shall demonstrate matching funds in order to receive financial assistance pursuant to this rule. The amount of matching funds that may be required shall be at the board’s discretion. An applicant under the program shall not receive financial assistance in an amount exceeding 50 percent of the total cost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215.3(5)</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may use financial assistance received under the program for marketing and promotions. Whether an activity or individual cost item is directly related to the promotion of the sporting event shall be within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215.3(6)</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shall not use financial assistance received under the program as reimbursement for completed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financial assistance provided to an applicant in any one fiscal year shall not exceed $500,000.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and ineligible marketing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Expenses directly related to the active promotion of a sporting event will be eligible for reimbursement under the program. Examples of 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to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Production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 xml:space="preserve">Expenses that are not directly related to the active promotion of a sporting event will be ineligible for reimbursement under the program. Examples of ineligible expenses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Bid fees, rights fees, solicitation efforts or lobbying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costs or compensation of applicant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Meals, dining, or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Items that are purchased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Prizes given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related to infrastructure or ongoing costs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261—215.5</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program, an application must meet the following threshold 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215.5(2)</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 outlining the sporting event and the plan for promoting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215.5(3)</w:t>
      </w:r>
      <w:r>
        <w:rPr>
          <w:rFonts w:ascii="Times New Roman" w:hAnsi="Times New Roman"/>
          <w:b w:val="false"/>
          <w:i w:val="false"/>
          <w:color w:val="000000"/>
          <w:sz w:val="22"/>
        </w:rPr>
        <w:t> </w:t>
      </w:r>
      <w:r>
        <w:rPr>
          <w:rFonts w:ascii="Times New Roman" w:hAnsi="Times New Roman"/>
          <w:b w:val="false"/>
          <w:i w:val="false"/>
          <w:color w:val="000000"/>
          <w:sz w:val="22"/>
        </w:rPr>
        <w:t>The proposed project budget must be spent on marketing and promotions directly related to the promotion of the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215.5(4)</w:t>
      </w:r>
      <w:r>
        <w:rPr>
          <w:rFonts w:ascii="Times New Roman" w:hAnsi="Times New Roman"/>
          <w:b w:val="false"/>
          <w:i w:val="false"/>
          <w:color w:val="000000"/>
          <w:sz w:val="22"/>
        </w:rPr>
        <w:t> </w:t>
      </w:r>
      <w:r>
        <w:rPr>
          <w:rFonts w:ascii="Times New Roman" w:hAnsi="Times New Roman"/>
          <w:b w:val="false"/>
          <w:i w:val="false"/>
          <w:color w:val="000000"/>
          <w:sz w:val="22"/>
        </w:rPr>
        <w:t>Detailed information and projections sufficient to enable the authority to accurately assess the economic impact of the sporting event described in the application. Such information shall include the estimated number of spectators and estimated quality and quantity of advertising and media coverage the sporting event will generate. If the applicant has previously held substantially similar events, the information shall include actual attendance figures from past events and a summary of the advertising and media coverage generated.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215.6(1)</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215.6(2)</w:t>
      </w:r>
      <w:r>
        <w:rPr>
          <w:rFonts w:ascii="Times New Roman" w:hAnsi="Times New Roman"/>
          <w:b w:val="false"/>
          <w:i w:val="false"/>
          <w:color w:val="000000"/>
          <w:sz w:val="22"/>
        </w:rPr>
        <w:t> </w:t>
      </w:r>
      <w:r>
        <w:rPr>
          <w:rFonts w:ascii="Times New Roman" w:hAnsi="Times New Roman"/>
          <w:b w:val="false"/>
          <w:i w:val="false"/>
          <w:color w:val="000000"/>
          <w:sz w:val="22"/>
        </w:rPr>
        <w:t>All applications to the authority for financial assistance shall be made at least 90 days prior to a sporting event’s scheduled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215.6(3)</w:t>
      </w:r>
      <w:r>
        <w:rPr>
          <w:rFonts w:ascii="Times New Roman" w:hAnsi="Times New Roman"/>
          <w:b w:val="false"/>
          <w:i w:val="false"/>
          <w:color w:val="000000"/>
          <w:sz w:val="22"/>
        </w:rPr>
        <w:t> </w:t>
      </w:r>
      <w:r>
        <w:rPr>
          <w:rFonts w:ascii="Times New Roman" w:hAnsi="Times New Roman"/>
          <w:b w:val="false"/>
          <w:i w:val="false"/>
          <w:color w:val="000000"/>
          <w:sz w:val="22"/>
        </w:rPr>
        <w:t>When reviewing the applications, the review committee and the authority shall consider,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Impact of the project on the local, regional, and state economies. Economic impact will be determined by using the following calculation: Applicants will estimate the number of hotel room nights generated by each proposed sporting event and multiply the number of estimated hotel room nights by the average daily room rate for Iowa hotels. The average daily room rate will be provided by the authority based on information obtained from a hotel market data service. Intentionally inflated estimates of attendance or a history of providing inaccurate estimates will negatively affect the scoring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Potential to attract Iowans and out-of-state visitors. Projects that market or promote a sporting event that is new to Iowa will receive a higher score. Established events will receive a lower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 of positive advertising or media coverage the project generates.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size, and scope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Ratio of public-to-private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sporting event to be marketed or promoted is unique, innovative, or diverse.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recommendations of the review committee, the board shall make final funding decisions on each application. The board may approve, defer, deny, or modify applications for financial assistance under the program, in its discretion, in order to fund as many projects with the moneys available as possible. The board and the authority may negotiate with applicants regarding the details of projects and the amount and terms of any award. In making final funding decisions pursuant to this subrule, the board and the authority are exempt from Iowa Code chapter </w:t>
      </w:r>
      <w:r>
        <w:rPr>
          <w:rFonts w:ascii="Times New Roman" w:hAnsi="Times New Roman"/>
          <w:b w:val="false"/>
          <w:i w:val="false"/>
          <w:color w:val="000000"/>
          <w:sz w:val="22"/>
        </w:rPr>
        <w:t>17A</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261—215.7</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receiving an award of financial assistance from the board shall enter into an agreement with the authority. The agreement shall contain such terms and conditions as the board may place on the award or the authority may deem necessary for the efficient administration of the program established in this chapter. The agreement will also include the terms and conditions under which financial assistance must be repaid or penalties incurred in the event the applicant does not fulfill all obligations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These rules and applicable state laws shall be part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execute and return the contract to the board within 90 days of the transmittal of the final contract from the board.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authority receipt and board approval of an implementation plan for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An applicant receiving financial assistance shall provide an annual report to the authority for years in which it receives financial assistance under this rule. The report shall include the information the authority deems relevant. The report shall be submitted in the manner and on forms prescribed by the authority. The authority may perform any reviews or site visits necessary to ensure performance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215.7(3)</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all other records pertinent to the sports tourism award for three years after contract closeout. Representatives of the authority shall have access to all recipient records that pertain to sports tourism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 of the funded project that change the scope, location, objectives or scale of the approved project. Amendments must be approved by the economic development authority board. The authority may execute nonsubstantive or ministerial changes to the contract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215.7(6)</w:t>
      </w:r>
      <w:r>
        <w:rPr>
          <w:rFonts w:ascii="Times New Roman" w:hAnsi="Times New Roman"/>
          <w:b w:val="false"/>
          <w:i w:val="false"/>
          <w:color w:val="000000"/>
          <w:sz w:val="22"/>
        </w:rPr>
        <w:t> </w:t>
      </w:r>
      <w:r>
        <w:rPr>
          <w:rFonts w:ascii="Times New Roman" w:hAnsi="Times New Roman"/>
          <w:b w:val="false"/>
          <w:i/>
          <w:color w:val="000000"/>
          <w:sz w:val="22"/>
        </w:rPr>
        <w:t xml:space="preserve">Project closeout. </w:t>
      </w:r>
      <w:r>
        <w:rPr>
          <w:rFonts w:ascii="Times New Roman" w:hAnsi="Times New Roman"/>
          <w:b w:val="false"/>
          <w:i w:val="false"/>
          <w:color w:val="000000"/>
          <w:sz w:val="22"/>
        </w:rPr>
        <w:t>Upon expiration of the agreement, the authority shall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215.7(7)</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If the board finds that an applicant is not in compliance with the requirements of this program or the terms and conditions of the agreement, the board may find the applicant noncompliant. Remedies for noncompliance may include penalties up to and including the return of program funds to the board. Reasons for a finding of noncompliance include but are not limited to the applicant’s use of funds for activities not described in the contract, the applicant’s failure to complete funded projects in a timely manner, the applicant’s failure to comply with applicable state or local rules, or the lack of a continuing capacity of the applicant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2980C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6107C</w:t>
      </w:r>
      <w:r>
        <w:rPr>
          <w:rFonts w:ascii="Times New Roman" w:hAnsi="Times New Roman"/>
          <w:b w:val="false"/>
          <w:i w:val="false"/>
          <w:color w:val="000000"/>
          <w:sz w:val="16"/>
        </w:rPr>
        <w:t>, IAB 12/29/21, effective 12/2/21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15F.402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15F.403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2579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2980C</w:t>
      </w:r>
      <w:r>
        <w:rPr>
          <w:rFonts w:ascii="Times New Roman" w:hAnsi="Times New Roman"/>
          <w:b w:val="false"/>
          <w:i w:val="false"/>
          <w:color w:val="000000"/>
          <w:sz w:val="21"/>
        </w:rPr>
        <w:t xml:space="preserve"> (Notice ARC 2864C, IAB 12/21/16)</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Emergency After Notice ARC 6107C</w:t>
      </w:r>
      <w:r>
        <w:rPr>
          <w:rFonts w:ascii="Times New Roman" w:hAnsi="Times New Roman"/>
          <w:b w:val="false"/>
          <w:i w:val="false"/>
          <w:color w:val="000000"/>
          <w:sz w:val="21"/>
        </w:rPr>
        <w:t xml:space="preserve"> (Notice ARC 5988C, IAB 10/20/21)</w:t>
      </w:r>
      <w:r>
        <w:rPr>
          <w:rFonts w:ascii="Times New Roman" w:hAnsi="Times New Roman"/>
          <w:b w:val="false"/>
          <w:i w:val="false"/>
          <w:color w:val="000000"/>
          <w:sz w:val="21"/>
        </w:rPr>
        <w:t>, IAB 12/29/21, effective 12/2/21]</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E.321.pdf" Type="http://schemas.openxmlformats.org/officeDocument/2006/relationships/hyperlink" Id="rId7"/>
    <Relationship TargetMode="External" Target="https://www.legis.iowa.gov/docs/ico/chapter/15F.403.pdf" Type="http://schemas.openxmlformats.org/officeDocument/2006/relationships/hyperlink" Id="rId8"/>
    <Relationship TargetMode="External" Target="https://www.legis.iowa.gov/docs/ico/chapter/15F.402.pdf" Type="http://schemas.openxmlformats.org/officeDocument/2006/relationships/hyperlink" Id="rId9"/>
    <Relationship TargetMode="External" Target="https://www.legis.iowa.gov/docs/ico/chapter/15F.102.pdf" Type="http://schemas.openxmlformats.org/officeDocument/2006/relationships/hyperlink" Id="rId10"/>
    <Relationship TargetMode="External" Target="https://www.legis.iowa.gov/docs/ico/chapter/15F.102.pdf" Type="http://schemas.openxmlformats.org/officeDocument/2006/relationships/hyperlink" Id="rId11"/>
    <Relationship TargetMode="External" Target="https://www.legis.iowa.gov/docs/iac/rule/261.215.2.pdf" Type="http://schemas.openxmlformats.org/officeDocument/2006/relationships/hyperlink" Id="rId12"/>
    <Relationship TargetMode="External" Target="https://www.legis.iowa.gov/docs/ico/chapter/15F.401.pdf" Type="http://schemas.openxmlformats.org/officeDocument/2006/relationships/hyperlink" Id="rId13"/>
    <Relationship TargetMode="External" Target="https://www.legis.iowa.gov/docs/iac/chapter/261.38.pdf" Type="http://schemas.openxmlformats.org/officeDocument/2006/relationships/hyperlink" Id="rId14"/>
    <Relationship TargetMode="External" Target="https://www.legis.iowa.gov/docs/ico/chapter/15F.401.pdf" Type="http://schemas.openxmlformats.org/officeDocument/2006/relationships/hyperlink" Id="rId15"/>
    <Relationship TargetMode="External" Target="https://www.legis.iowa.gov/docs/ico/chapter/15F.402.pdf" Type="http://schemas.openxmlformats.org/officeDocument/2006/relationships/hyperlink" Id="rId16"/>
    <Relationship TargetMode="External" Target="https://www.legis.iowa.gov/docs/ico/chapter/15F.40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