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214</w:t>
      </w:r>
    </w:p>
    <w:p>
      <w:pPr>
        <w:spacing w:before="0" w:after="0"/>
        <w:ind w:left="120"/>
        <w:jc w:val="center"/>
      </w:pPr>
      <w:r>
        <w:rPr>
          <w:rFonts w:ascii="Times New Roman" w:hAnsi="Times New Roman"/>
          <w:b w:val="false"/>
          <w:i w:val="false"/>
          <w:color w:val="000000"/>
          <w:sz w:val="21"/>
        </w:rPr>
        <w:t>ENHANCE IOWA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261—214.1</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When used in this chapter, unless the context otherwise requires: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enhance Iowa board as created in Iowa Code section </w:t>
      </w:r>
      <w:hyperlink r:id="rId6">
        <w:r>
          <w:rPr>
            <w:rStyle w:val="Hyperlink"/>
            <w:rFonts w:ascii="Times New Roman" w:hAnsi="Times New Roman"/>
            <w:b w:val="false"/>
            <w:i w:val="false"/>
            <w:color w:val="000000"/>
            <w:sz w:val="22"/>
          </w:rPr>
          <w:t>15F.102.</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261—214.2</w:t>
      </w:r>
      <w:r>
        <w:rPr>
          <w:rFonts w:ascii="Times New Roman" w:hAnsi="Times New Roman"/>
          <w:b/>
          <w:i w:val="false"/>
          <w:color w:val="000000"/>
          <w:sz w:val="22"/>
        </w:rPr>
        <w:t xml:space="preserve">(15F) </w:t>
      </w:r>
      <w:r>
        <w:rPr>
          <w:rFonts w:ascii="Times New Roman" w:hAnsi="Times New Roman"/>
          <w:b/>
          <w:i w:val="false"/>
          <w:color w:val="000000"/>
          <w:sz w:val="22"/>
        </w:rPr>
        <w:t xml:space="preserve">Enhance Iowa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is composed of 11 voting members appointed by the governor. These 11 members include 2 members from each of the four United States congressional districts in the state and 3 members selected at large. In addition, the appointed members represent certain industry sectors and have certain business expertise as described in Iowa Code section </w:t>
      </w:r>
      <w:hyperlink r:id="rId7">
        <w:r>
          <w:rPr>
            <w:rStyle w:val="Hyperlink"/>
            <w:rFonts w:ascii="Times New Roman" w:hAnsi="Times New Roman"/>
            <w:b w:val="false"/>
            <w:i w:val="false"/>
            <w:color w:val="000000"/>
            <w:sz w:val="22"/>
          </w:rPr>
          <w:t>15F.102(3).</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also includes 4 ex officio, nonvoting legislative members as described in Iowa Code section </w:t>
      </w:r>
      <w:hyperlink r:id="rId8">
        <w:r>
          <w:rPr>
            <w:rStyle w:val="Hyperlink"/>
            <w:rFonts w:ascii="Times New Roman" w:hAnsi="Times New Roman"/>
            <w:b w:val="false"/>
            <w:i w:val="false"/>
            <w:color w:val="000000"/>
            <w:sz w:val="22"/>
          </w:rPr>
          <w:t>15F.102(4).</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214.2(2)</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 xml:space="preserve">Members of the board are appointed for staggered terms of three years beginning and ending as provided in Iowa Code section </w:t>
      </w:r>
      <w:hyperlink r:id="rId9">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 A person appointed to fill a vacancy serves only for the unexpired portion of the term. A member is eligible for reappointment.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214.2(3)</w:t>
      </w:r>
      <w:r>
        <w:rPr>
          <w:rFonts w:ascii="Times New Roman" w:hAnsi="Times New Roman"/>
          <w:b w:val="false"/>
          <w:i w:val="false"/>
          <w:color w:val="000000"/>
          <w:sz w:val="22"/>
        </w:rPr>
        <w:t> </w:t>
      </w:r>
      <w:r>
        <w:rPr>
          <w:rFonts w:ascii="Times New Roman" w:hAnsi="Times New Roman"/>
          <w:b w:val="false"/>
          <w:i/>
          <w:color w:val="000000"/>
          <w:sz w:val="22"/>
        </w:rPr>
        <w:t xml:space="preserve">Quorum and voting requirements. </w:t>
      </w:r>
      <w:r>
        <w:rPr>
          <w:rFonts w:ascii="Times New Roman" w:hAnsi="Times New Roman"/>
          <w:b w:val="false"/>
          <w:i w:val="false"/>
          <w:color w:val="000000"/>
          <w:sz w:val="22"/>
        </w:rPr>
        <w:t>A majority of the total voting membership of the board constitutes a quorum. The affirmative vote of a majority of the quorum is necessary for any action taken by the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214.2(4)</w:t>
      </w:r>
      <w:r>
        <w:rPr>
          <w:rFonts w:ascii="Times New Roman" w:hAnsi="Times New Roman"/>
          <w:b w:val="false"/>
          <w:i w:val="false"/>
          <w:color w:val="000000"/>
          <w:sz w:val="22"/>
        </w:rPr>
        <w:t> </w:t>
      </w:r>
      <w:r>
        <w:rPr>
          <w:rFonts w:ascii="Times New Roman" w:hAnsi="Times New Roman"/>
          <w:b w:val="false"/>
          <w:i/>
          <w:color w:val="000000"/>
          <w:sz w:val="22"/>
        </w:rPr>
        <w:t xml:space="preserve">Board officers. </w:t>
      </w:r>
      <w:r>
        <w:rPr>
          <w:rFonts w:ascii="Times New Roman" w:hAnsi="Times New Roman"/>
          <w:b w:val="false"/>
          <w:i w:val="false"/>
          <w:color w:val="000000"/>
          <w:sz w:val="22"/>
        </w:rPr>
        <w:t xml:space="preserve">The governor designates the chairperson and vice chairperson of the board from the members appointed pursuant to Iowa Code section </w:t>
      </w:r>
      <w:hyperlink r:id="rId10">
        <w:r>
          <w:rPr>
            <w:rStyle w:val="Hyperlink"/>
            <w:rFonts w:ascii="Times New Roman" w:hAnsi="Times New Roman"/>
            <w:b w:val="false"/>
            <w:i w:val="false"/>
            <w:color w:val="000000"/>
            <w:sz w:val="22"/>
          </w:rPr>
          <w:t>15F.102(2).</w:t>
        </w:r>
      </w:hyperlink>
      <w:r>
        <w:rPr>
          <w:rFonts w:ascii="Times New Roman" w:hAnsi="Times New Roman"/>
          <w:b w:val="false"/>
          <w:i w:val="false"/>
          <w:color w:val="000000"/>
          <w:sz w:val="22"/>
        </w:rPr>
        <w:t xml:space="preserve"> In the case of absence or disability of the chairperson and vice chairperson, the members of the board shall elect a temporary chairperson by a majority vote of those members who are present and voting.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214.2(5)</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board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Oversee the administration of the following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 attraction and tourism;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Sports tourism marketing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River enhancement community attraction and tourism;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Vision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baseball and softball complex sales tax rebate applications and make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214.2(6)</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Each voting member of the board shall serve on at least one of three review committees for the following programs: community attraction and tourism, river enhancement community attraction and tourism, and sports tourism.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5028C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261—214.3</w:t>
      </w:r>
      <w:r>
        <w:rPr>
          <w:rFonts w:ascii="Times New Roman" w:hAnsi="Times New Roman"/>
          <w:b/>
          <w:i w:val="false"/>
          <w:color w:val="000000"/>
          <w:sz w:val="22"/>
        </w:rPr>
        <w:t xml:space="preserve">(15F) </w:t>
      </w:r>
      <w:r>
        <w:rPr>
          <w:rFonts w:ascii="Times New Roman" w:hAnsi="Times New Roman"/>
          <w:b/>
          <w:i w:val="false"/>
          <w:color w:val="000000"/>
          <w:sz w:val="22"/>
        </w:rPr>
        <w:t xml:space="preserve">Authority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adopt administrative rules pursuant to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necessary to administer the programs established pursuant to Iowa Code chapter </w:t>
      </w:r>
      <w:hyperlink r:id="rId12">
        <w:r>
          <w:rPr>
            <w:rStyle w:val="Hyperlink"/>
            <w:rFonts w:ascii="Times New Roman" w:hAnsi="Times New Roman"/>
            <w:b w:val="false"/>
            <w:i w:val="false"/>
            <w:color w:val="000000"/>
            <w:sz w:val="22"/>
          </w:rPr>
          <w:t>15F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214.3(2)</w:t>
      </w:r>
      <w:r>
        <w:rPr>
          <w:rFonts w:ascii="Times New Roman" w:hAnsi="Times New Roman"/>
          <w:b w:val="false"/>
          <w:i w:val="false"/>
          <w:color w:val="000000"/>
          <w:sz w:val="22"/>
        </w:rPr>
        <w:t> </w:t>
      </w:r>
      <w:r>
        <w:rPr>
          <w:rFonts w:ascii="Times New Roman" w:hAnsi="Times New Roman"/>
          <w:b w:val="false"/>
          <w:i w:val="false"/>
          <w:color w:val="000000"/>
          <w:sz w:val="22"/>
        </w:rPr>
        <w:t>The authority shall provide the board with assistance in implementing administrative functions, marketing the programs, providing technical assistance and application assistance to applicants under the programs, negotiating contracts, and providing project follow-up.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214.3(3)</w:t>
      </w:r>
      <w:r>
        <w:rPr>
          <w:rFonts w:ascii="Times New Roman" w:hAnsi="Times New Roman"/>
          <w:b w:val="false"/>
          <w:i w:val="false"/>
          <w:color w:val="000000"/>
          <w:sz w:val="22"/>
        </w:rPr>
        <w:t> </w:t>
      </w:r>
      <w:r>
        <w:rPr>
          <w:rFonts w:ascii="Times New Roman" w:hAnsi="Times New Roman"/>
          <w:b w:val="false"/>
          <w:i w:val="false"/>
          <w:color w:val="000000"/>
          <w:sz w:val="22"/>
        </w:rPr>
        <w:t>The authority may conduct negotiations on behalf of the board with applicants regarding terms and conditions applicable to awards under the programs.</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15F.101 to 15F.107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5028C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2980C</w:t>
      </w:r>
      <w:r>
        <w:rPr>
          <w:rFonts w:ascii="Times New Roman" w:hAnsi="Times New Roman"/>
          <w:b w:val="false"/>
          <w:i w:val="false"/>
          <w:color w:val="000000"/>
          <w:sz w:val="21"/>
        </w:rPr>
        <w:t xml:space="preserve"> (Notice ARC 2864C, IAB 12/21/16)</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5028C</w:t>
      </w:r>
      <w:r>
        <w:rPr>
          <w:rFonts w:ascii="Times New Roman" w:hAnsi="Times New Roman"/>
          <w:b w:val="false"/>
          <w:i w:val="false"/>
          <w:color w:val="000000"/>
          <w:sz w:val="21"/>
        </w:rPr>
        <w:t xml:space="preserve"> (Notice ARC 4670C, IAB 9/25/19)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6612C</w:t>
      </w:r>
      <w:r>
        <w:rPr>
          <w:rFonts w:ascii="Times New Roman" w:hAnsi="Times New Roman"/>
          <w:b w:val="false"/>
          <w:i w:val="false"/>
          <w:color w:val="000000"/>
          <w:sz w:val="21"/>
        </w:rPr>
        <w:t xml:space="preserve"> (Notice ARC 6444C, IAB 8/10/22)</w:t>
      </w:r>
      <w:r>
        <w:rPr>
          <w:rFonts w:ascii="Times New Roman" w:hAnsi="Times New Roman"/>
          <w:b w:val="false"/>
          <w:i w:val="false"/>
          <w:color w:val="000000"/>
          <w:sz w:val="21"/>
        </w:rPr>
        <w:t>, IAB 11/2/22, effective 12/7/22]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F.102.pdf" Type="http://schemas.openxmlformats.org/officeDocument/2006/relationships/hyperlink" Id="rId6"/>
    <Relationship TargetMode="External" Target="https://www.legis.iowa.gov/docs/ico/chapter/15F.102.pdf" Type="http://schemas.openxmlformats.org/officeDocument/2006/relationships/hyperlink" Id="rId7"/>
    <Relationship TargetMode="External" Target="https://www.legis.iowa.gov/docs/ico/chapter/15F.102.pdf" Type="http://schemas.openxmlformats.org/officeDocument/2006/relationships/hyperlink" Id="rId8"/>
    <Relationship TargetMode="External" Target="https://www.legis.iowa.gov/docs/ico/chapter/69.19.pdf" Type="http://schemas.openxmlformats.org/officeDocument/2006/relationships/hyperlink" Id="rId9"/>
    <Relationship TargetMode="External" Target="https://www.legis.iowa.gov/docs/ico/chapter/15F.102.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5F.pdf" Type="http://schemas.openxmlformats.org/officeDocument/2006/relationships/hyperlink" Id="rId12"/>
    <Relationship TargetMode="External" Target="https://www.legis.iowa.gov/docs/ico/chapter/15F.101-107.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