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213</w:t>
      </w:r>
    </w:p>
    <w:p>
      <w:pPr>
        <w:spacing w:before="0" w:after="0"/>
        <w:ind w:left="120"/>
        <w:jc w:val="center"/>
      </w:pPr>
      <w:r>
        <w:rPr>
          <w:rFonts w:ascii="Times New Roman" w:hAnsi="Times New Roman"/>
          <w:b w:val="false"/>
          <w:i w:val="false"/>
          <w:color w:val="000000"/>
          <w:sz w:val="21"/>
        </w:rPr>
        <w:t>ENHANCE IOWA BOARD: UNIFORM 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261—213.1</w:t>
      </w:r>
      <w:r>
        <w:rPr>
          <w:rFonts w:ascii="Times New Roman" w:hAnsi="Times New Roman"/>
          <w:b/>
          <w:i w:val="false"/>
          <w:color w:val="000000"/>
          <w:sz w:val="22"/>
        </w:rPr>
        <w:t xml:space="preserve">(17A,15F)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board. The intent of this chapter is to allow persons to seek exceptions to the application of rules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“enhance Iowa board” </w:t>
      </w:r>
      <w:r>
        <w:rPr>
          <w:rFonts w:ascii="Times New Roman" w:hAnsi="Times New Roman"/>
          <w:b w:val="false"/>
          <w:i w:val="false"/>
          <w:color w:val="000000"/>
          <w:sz w:val="22"/>
        </w:rPr>
        <w:t xml:space="preserve">means the enhance Iowa board established by Iowa Code section </w:t>
      </w:r>
      <w:hyperlink r:id="rId5">
        <w:r>
          <w:rPr>
            <w:rStyle w:val="Hyperlink"/>
            <w:rFonts w:ascii="Times New Roman" w:hAnsi="Times New Roman"/>
            <w:b w:val="false"/>
            <w:i w:val="false"/>
            <w:color w:val="000000"/>
            <w:sz w:val="22"/>
          </w:rPr>
          <w:t>15F.102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board may be granted in accordance with this chapter if (1) the board has authority to promulgate the rule from which waiver is requested or has final decision-making authority over a contested case in which a waiver is requested; and (2) no statute or rule otherwise controls the grant of a waiver from the rule from which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261—213.2</w:t>
      </w:r>
      <w:r>
        <w:rPr>
          <w:rFonts w:ascii="Times New Roman" w:hAnsi="Times New Roman"/>
          <w:b/>
          <w:i w:val="false"/>
          <w:color w:val="000000"/>
          <w:sz w:val="22"/>
        </w:rPr>
        <w:t xml:space="preserve">(17A,15F) </w:t>
      </w:r>
      <w:r>
        <w:rPr>
          <w:rFonts w:ascii="Times New Roman" w:hAnsi="Times New Roman"/>
          <w:b/>
          <w:i w:val="false"/>
          <w:color w:val="000000"/>
          <w:sz w:val="22"/>
        </w:rPr>
        <w:t xml:space="preserve">Board discretion. </w:t>
      </w:r>
      <w:r>
        <w:rPr>
          <w:rFonts w:ascii="Times New Roman" w:hAnsi="Times New Roman"/>
          <w:b w:val="false"/>
          <w:i w:val="false"/>
          <w:color w:val="000000"/>
          <w:sz w:val="22"/>
        </w:rPr>
        <w:t>The decision on whether the circumstances justify the granting of a waiver shall be made at the discretion of the board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The board may, in response to a completed petition, grant a waiver from a rule, in whole or in part, as applied to the circumstances of a specified situation if the board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to the person at issue would result in undue hardship to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on the basis of the particular circumstances relative to that specified person would be consistent with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Waiver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waiver should be granted, the board shall consider whether the underlying public interest policies and legislative intent of the rules are substantially equivalent to full compliance with the rule. When the rule from which a waiver is sought establishes administrative deadlines, the board shall balance the special individual circumstances of the petitioner with the overall goal of uniform treatment of all licensees, grantees and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These uniform waiver rules shall not preclude the board from granting waivers in other contexts or on the basis of other standards if a statute or other board rule authorizes the board to do so, and the board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261—213.3</w:t>
      </w:r>
      <w:r>
        <w:rPr>
          <w:rFonts w:ascii="Times New Roman" w:hAnsi="Times New Roman"/>
          <w:b/>
          <w:i w:val="false"/>
          <w:color w:val="000000"/>
          <w:sz w:val="22"/>
        </w:rPr>
        <w:t xml:space="preserve">(17A,15F) </w:t>
      </w:r>
      <w:r>
        <w:rPr>
          <w:rFonts w:ascii="Times New Roman" w:hAnsi="Times New Roman"/>
          <w:b/>
          <w:i w:val="false"/>
          <w:color w:val="000000"/>
          <w:sz w:val="22"/>
        </w:rPr>
        <w:t xml:space="preserve">Requester’s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All petitions for waiver must be submitted in writing to the Enhance Iowa Board, 1963 Bell Avenue, Suite 200, Des Moines, Iowa 50315, Attention: Legal Counsel. Petitions for waiver may be delivered, mailed, or sent by email or other electronic means reasonably calculated to reach the intended recipient.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and the petitioner relating to the regulated activity, license, grant, loan or other financial assistance affected by the proposed waiver, including a description of each affected license, grant, loan or other financial assistance held by the requester, any notices of violation, contested case hearings, or investigative reports relating to the regulated activity, license, grant or loan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board rule, the burden of persuasion shall be on the petitioner to demonstrate by clear and convincing evidence that the board should exercise its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261—213.4</w:t>
      </w:r>
      <w:r>
        <w:rPr>
          <w:rFonts w:ascii="Times New Roman" w:hAnsi="Times New Roman"/>
          <w:b/>
          <w:i w:val="false"/>
          <w:color w:val="000000"/>
          <w:sz w:val="22"/>
        </w:rPr>
        <w:t xml:space="preserve">(17A,15F)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notice of the pendency of the petition and a concise summary of its contents have been provided to all persons to whom notice is required by any provision of law within 30 days of the receipt of the petition. In addition, the board may give notice to other persons. The board may require the petitioner to serve the notice and a concise summary of the contents of the petition on all persons to whom notice is required by any provision of law or who may be impacted by the requested waiver, and provide a written statement to the board attesting that notice has been provided and attach a copy of the notice and summary to the written 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261—213.5</w:t>
      </w:r>
      <w:r>
        <w:rPr>
          <w:rFonts w:ascii="Times New Roman" w:hAnsi="Times New Roman"/>
          <w:b/>
          <w:i w:val="false"/>
          <w:color w:val="000000"/>
          <w:sz w:val="22"/>
        </w:rPr>
        <w:t xml:space="preserve">(17A,15F) </w:t>
      </w:r>
      <w:r>
        <w:rPr>
          <w:rFonts w:ascii="Times New Roman" w:hAnsi="Times New Roman"/>
          <w:b/>
          <w:i w:val="false"/>
          <w:color w:val="000000"/>
          <w:sz w:val="22"/>
        </w:rPr>
        <w:t xml:space="preserve">Board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board’s designee, a committee of the board, or a quorum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(a) to any petition for a waiver of rule filed within a contested case; (b) when the board so provides by rule or order; or (c)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condition the grant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213.5(6)</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213.5(7)</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261—213.6</w:t>
      </w:r>
      <w:r>
        <w:rPr>
          <w:rFonts w:ascii="Times New Roman" w:hAnsi="Times New Roman"/>
          <w:b/>
          <w:i w:val="false"/>
          <w:color w:val="000000"/>
          <w:sz w:val="22"/>
        </w:rPr>
        <w:t xml:space="preserve">(17A,15F)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shall make a submission on the Internet site established pursuant to Iowa Code section </w:t>
      </w:r>
      <w:hyperlink r:id="rId7">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 waived rules, and a general summary of the reasons justifying the authority’s actions on waiver requests. If practicable, the report shall detail the extent to which granting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261—213.7</w:t>
      </w:r>
      <w:r>
        <w:rPr>
          <w:rFonts w:ascii="Times New Roman" w:hAnsi="Times New Roman"/>
          <w:b/>
          <w:i w:val="false"/>
          <w:color w:val="000000"/>
          <w:sz w:val="22"/>
        </w:rPr>
        <w:t xml:space="preserve">(17A,15F)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board may at any time cancel a waiver upon appropriate notice if the board finds that the facts as stated in the request are not true, material facts have been withheld, the alternative means of compliance provided in the waiver have failed to achieve the objectives of the statute, or the requester has failed to comply with the conditions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261—213.8</w:t>
      </w:r>
      <w:r>
        <w:rPr>
          <w:rFonts w:ascii="Times New Roman" w:hAnsi="Times New Roman"/>
          <w:b/>
          <w:i w:val="false"/>
          <w:color w:val="000000"/>
          <w:sz w:val="22"/>
        </w:rPr>
        <w:t xml:space="preserve">(17A,15F)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261—213.9</w:t>
      </w:r>
      <w:r>
        <w:rPr>
          <w:rFonts w:ascii="Times New Roman" w:hAnsi="Times New Roman"/>
          <w:b/>
          <w:i w:val="false"/>
          <w:color w:val="000000"/>
          <w:sz w:val="22"/>
        </w:rPr>
        <w:t xml:space="preserve">(17A,15F)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261—213.10</w:t>
      </w:r>
      <w:r>
        <w:rPr>
          <w:rFonts w:ascii="Times New Roman" w:hAnsi="Times New Roman"/>
          <w:b/>
          <w:i w:val="false"/>
          <w:color w:val="000000"/>
          <w:sz w:val="22"/>
        </w:rPr>
        <w:t xml:space="preserve">(17A,15F)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 appeal to district court shall be taken within 30 days of the issuance of the ruling in response to the request unless a contrary time is provided by rule or statute.</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ENHANCE IOWA BOARD</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(insert name of petitioner)</w:t>
            </w:r>
          </w:p>
          <w:p>
            <w:pPr>
              <w:spacing w:before="0" w:after="0"/>
              <w:ind w:left="160"/>
              <w:jc w:val="left"/>
            </w:pPr>
            <w:r>
              <w:rPr>
                <w:rFonts w:ascii="Times New Roman" w:hAnsi="Times New Roman"/>
                <w:b w:val="false"/>
                <w:i w:val="false"/>
                <w:color w:val="000000"/>
                <w:sz w:val="16"/>
              </w:rPr>
              <w:t>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Requests for waiver from a board rule shall 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petitioner’s (person asking for a waiver)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specific waiver requested; include the exact scope and time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important facts that the petitioner believes justify a waiver. Include in your answer why (1) applying the rule will result in undue hardship to the petitioner; and (2) granting a waiver to the petitioner is consistent with the public interest; and (3) granting the waiver will not prejudice the substantial legal rights of any person; and (4)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history of prior contacts between the board and petitioner relating to the regulated activity, license, grant, loan or other financial assistance that would be affected by the waiver; include a description of each affected license, grant, loan or other financial assistance held by the petitioner, any notices of violation, contested case hearings, or investigative reports relating to the regulated activity, license, grant or loan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information known to the petitioner regarding the board’s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or entity that would be adversely affected or disadvantaged by the grant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tbl>
      <w:tblPr>
        <w:tblW w:w="5000" w:type="pct"/>
        <w:tblCellSpacing w:w="0" w:type="auto"/>
        <w:tblBorders>
          <w:top w:val="none"/>
          <w:left w:val="none"/>
          <w:bottom w:val="none"/>
          <w:right w:val="none"/>
          <w:insideH w:val="none"/>
          <w:insideV w:val="none"/>
        </w:tblBorders>
        <w:tblLayout w:type="fixed"/>
      </w:tblPr>
      <w:tblGrid>
        <w:gridCol w:w="6912"/>
        <w:gridCol w:w="576"/>
        <w:gridCol w:w="4032"/>
      </w:tblGrid>
      <w:tr>
        <w:trPr>
          <w:trHeight w:val="270" w:hRule="atLeast"/>
        </w:trPr>
        <w:tc>
          <w:tcPr>
            <w:tcW w:w="69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9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to the board, by clear and convincing evidence, the following: (a) application of the rule to the petitioner would result in undue hardship to the petitioner; and (b) waiver on the basis of the particular circumstances relative to the petitioner would be consistent with the public interest; and (c) waiver in the specific case would not prejudice the substantial legal rights of any person; and (d)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board may request additional information from or request an informal meeting with the petitioner prior to issuing a ruling granting or denying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petitions for waiver must be submitted in writing to the Enhance Iowa Board, 1963 Bell Avenue, Suite 200, Des Moines, Iowa 50315, Attention: Legal Counsel. If the petition relates to a pending contested case, a copy of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4513C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5644C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15F.102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[Filed ARC 4513C</w:t>
      </w:r>
      <w:r>
        <w:rPr>
          <w:rFonts w:ascii="Times New Roman" w:hAnsi="Times New Roman"/>
          <w:b w:val="false"/>
          <w:i w:val="false"/>
          <w:color w:val="000000"/>
          <w:sz w:val="21"/>
        </w:rPr>
        <w:t xml:space="preserve"> (Notice ARC 4329C, IAB 3/13/19)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5644C</w:t>
      </w:r>
      <w:r>
        <w:rPr>
          <w:rFonts w:ascii="Times New Roman" w:hAnsi="Times New Roman"/>
          <w:b w:val="false"/>
          <w:i w:val="false"/>
          <w:color w:val="000000"/>
          <w:sz w:val="21"/>
        </w:rPr>
        <w:t xml:space="preserve"> (Notice ARC 5537C, IAB 3/24/21)</w:t>
      </w:r>
      <w:r>
        <w:rPr>
          <w:rFonts w:ascii="Times New Roman" w:hAnsi="Times New Roman"/>
          <w:b w:val="false"/>
          <w:i w:val="false"/>
          <w:color w:val="000000"/>
          <w:sz w:val="21"/>
        </w:rPr>
        <w:t>, IAB 6/2/21, effective 7/7/21]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F.102.pdf" Type="http://schemas.openxmlformats.org/officeDocument/2006/relationships/hyperlink" Id="rId5"/>
    <Relationship TargetMode="External" Target="https://www.legis.iowa.gov/docs/ico/chapter/17A.10-18A.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15F.10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