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196</w:t>
      </w:r>
    </w:p>
    <w:p>
      <w:pPr>
        <w:spacing w:before="0" w:after="0"/>
        <w:ind w:left="120"/>
        <w:jc w:val="center"/>
      </w:pPr>
      <w:r>
        <w:rPr>
          <w:rFonts w:ascii="Times New Roman" w:hAnsi="Times New Roman"/>
          <w:b w:val="false"/>
          <w:i w:val="false"/>
          <w:color w:val="000000"/>
          <w:sz w:val="21"/>
        </w:rPr>
        <w:t>AGENCY PROCEDURE FOR RULEMAKING</w:t>
      </w:r>
    </w:p>
    <w:p>
      <w:pPr>
        <w:spacing w:before="0" w:after="0"/>
        <w:ind w:left="120"/>
        <w:jc w:val="center"/>
      </w:pPr>
      <w:r>
        <w:rPr>
          <w:rFonts w:ascii="Times New Roman" w:hAnsi="Times New Roman"/>
          <w:b w:val="false"/>
          <w:i w:val="false"/>
          <w:color w:val="000000"/>
          <w:sz w:val="14"/>
        </w:rPr>
        <w:t>[Prior to 9/6/00, see 261—Ch 101]</w:t>
      </w:r>
    </w:p>
    <w:p>
      <w:pPr>
        <w:spacing w:before="0" w:after="0"/>
        <w:ind w:left="120"/>
        <w:jc w:val="center"/>
      </w:pPr>
      <w:r>
        <w:rPr>
          <w:rFonts w:ascii="Times New Roman" w:hAnsi="Times New Roman"/>
          <w:b w:val="false"/>
          <w:i w:val="false"/>
          <w:color w:val="000000"/>
          <w:sz w:val="14"/>
        </w:rPr>
        <w:t>[Prior to 7/4/07, see 261—Ch 170]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261—196.1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authority incorporates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relate to procedures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261—196.2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Inquiries about authority rules and the rulemaking process may be directed to Director, Iowa Economic Development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relating to rules may be directed to Director, Iowa Economic Development Authority, 1963 Bell Avenue, Suite 200, Des Moines, Iowa 50315, or as directed in the Notice of Intended Action or similar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5/24/90, Notice 2/7/90—published 6/13/90, effective 7/18/90]</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8146C</w:t>
      </w:r>
      <w:r>
        <w:rPr>
          <w:rFonts w:ascii="Times New Roman" w:hAnsi="Times New Roman"/>
          <w:b w:val="false"/>
          <w:i w:val="false"/>
          <w:color w:val="000000"/>
          <w:sz w:val="21"/>
        </w:rPr>
        <w:t xml:space="preserve"> (Notice ARC 7936C, IAB 5/15/24)</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