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PART IX</w:t>
      </w:r>
    </w:p>
    <w:p>
      <w:pPr>
        <w:pBdr>
          <w:bottom w:space="3"/>
        </w:pBdr>
        <w:spacing w:before="0" w:after="0"/>
        <w:ind w:left="120"/>
        <w:jc w:val="center"/>
      </w:pPr>
      <w:r>
        <w:rPr>
          <w:rFonts w:ascii="Times New Roman" w:hAnsi="Times New Roman"/>
          <w:b w:val="false"/>
          <w:i/>
          <w:color w:val="000000"/>
          <w:sz w:val="16"/>
        </w:rPr>
        <w:t>UNIFORM PROCEDURES: RECORDS, RULEMAKING, DECLARATORY ORDERS, RULE WAIVERS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9/6/00, see 261—Ch 100]</w:t>
      </w:r>
    </w:p>
    <w:p>
      <w:pPr>
        <w:spacing w:before="0" w:after="0"/>
        <w:ind w:left="120"/>
        <w:jc w:val="center"/>
      </w:pPr>
      <w:r>
        <w:rPr>
          <w:rFonts w:ascii="Times New Roman" w:hAnsi="Times New Roman"/>
          <w:b w:val="false"/>
          <w:i w:val="false"/>
          <w:color w:val="000000"/>
          <w:sz w:val="14"/>
        </w:rPr>
        <w:t>[Prior to 7/4/07, see 261—Ch 169]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261—195.1</w:t>
      </w:r>
      <w:r>
        <w:rPr>
          <w:rFonts w:ascii="Times New Roman" w:hAnsi="Times New Roman"/>
          <w:b/>
          <w:i w:val="false"/>
          <w:color w:val="000000"/>
          <w:sz w:val="22"/>
        </w:rPr>
        <w:t xml:space="preserve">(15,22)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means records, as identified in Iowa Code section </w:t>
      </w:r>
      <w:hyperlink r:id="rId6">
        <w:r>
          <w:rPr>
            <w:rStyle w:val="Hyperlink"/>
            <w:rFonts w:ascii="Times New Roman" w:hAnsi="Times New Roman"/>
            <w:b w:val="false"/>
            <w:i w:val="false"/>
            <w:color w:val="000000"/>
            <w:sz w:val="22"/>
          </w:rPr>
          <w:t>15.118</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any other provision of law, that are not disclosed to members of the public unless otherwise ordered by a court, by the custodian of the records, or by another person duly authorized to release the records. A record may be partially or wholly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a lawful custodian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that identifies the individual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9">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is in the physical possession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authority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 for confidential treatment” </w:t>
      </w:r>
      <w:r>
        <w:rPr>
          <w:rFonts w:ascii="Times New Roman" w:hAnsi="Times New Roman"/>
          <w:b w:val="false"/>
          <w:i w:val="false"/>
          <w:color w:val="000000"/>
          <w:sz w:val="22"/>
        </w:rPr>
        <w:t xml:space="preserve">means a request, made pursuant to rule </w:t>
      </w:r>
      <w:hyperlink r:id="rId10">
        <w:r>
          <w:rPr>
            <w:rStyle w:val="Hyperlink"/>
            <w:rFonts w:ascii="Times New Roman" w:hAnsi="Times New Roman"/>
            <w:b w:val="false"/>
            <w:i w:val="false"/>
            <w:color w:val="000000"/>
            <w:sz w:val="22"/>
          </w:rPr>
          <w:t>261—195.4</w:t>
        </w:r>
      </w:hyperlink>
      <w:r>
        <w:rPr>
          <w:rFonts w:ascii="Times New Roman" w:hAnsi="Times New Roman"/>
          <w:b w:val="false"/>
          <w:i w:val="false"/>
          <w:color w:val="000000"/>
          <w:sz w:val="22"/>
        </w:rPr>
        <w:t>(15,22), for the authority to treat a record as a confidential record and withhold such record from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261—195.2</w:t>
      </w:r>
      <w:r>
        <w:rPr>
          <w:rFonts w:ascii="Times New Roman" w:hAnsi="Times New Roman"/>
          <w:b/>
          <w:i w:val="false"/>
          <w:color w:val="000000"/>
          <w:sz w:val="22"/>
        </w:rPr>
        <w:t xml:space="preserve">(15,22) </w:t>
      </w:r>
      <w:r>
        <w:rPr>
          <w:rFonts w:ascii="Times New Roman" w:hAnsi="Times New Roman"/>
          <w:b/>
          <w:i w:val="false"/>
          <w:color w:val="000000"/>
          <w:sz w:val="22"/>
        </w:rPr>
        <w:t xml:space="preserve">Requests for access to authority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an authority record should be directed to the authority at 1963 Bell Avenue, Suite 200, Des Moines, Iowa 50309, or an email address indicated on the authority’s website for the purpose of requesting records. If a request for access to a record is misdirected, authority staff will promptly forward the request to the appropriate person within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are available during customary office hours of 8 a.m. to 4:30 p.m. on Monday through Friday, excluding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authority records may be made in writing, including by email, in person, or by telephone. Requests must identify the particular records sought by name or description in order to facilitate the location of the record. A request made other than in person must include the name, email address if available and telephone number of the person requesting the information. If a person asks to be mailed paper copies of a record, a mailing address must be included in the request. A person is not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The authority is authorized to grant or deny access to records according to the provisions of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this chapter or any other provision of law. Access to an open record shall be granted promptly upon request. If the size or nature of the request necessitates time for compliance, the authority shall comply with the request as soon as possible. The authority may delay access to a record for any of the reasons set forth in Iowa Code section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authority must promptly give written notice to the requester of the reason for any delay in access to a record and the estimated length of that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authority, search or remove any record from authority files. Examination and copying of records will be done under the supervision of authority staff to ensure records are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 xml:space="preserve">The authority will permit the copying of records as described in Iowa Code section </w:t>
      </w:r>
      <w:hyperlink r:id="rId14">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195.2(7)</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authority may charge fees for records as authorized by Iowa Code section </w:t>
      </w:r>
      <w:hyperlink r:id="rId15">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or another provision of law. An hourly fee may be estimated in advance and charged for actual authority expenses in the inspection, reviewing, and copying of requested records when the total staff time dedicated to fulfilling the request requires an excess of two hours. When the estimated fee chargeable under this subrule exceeds $25, the authority may require a requester to make an advance payment of all or part of the estimated fee. When a requester has previously failed to pay a fee charged under this subrule, the authority may require advance payment of the full amount of any estimated fee before the authority processes a new or pending request for access to records from that requester, as well as payment in full of the amount previously 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261—195.3</w:t>
      </w:r>
      <w:r>
        <w:rPr>
          <w:rFonts w:ascii="Times New Roman" w:hAnsi="Times New Roman"/>
          <w:b/>
          <w:i w:val="false"/>
          <w:color w:val="000000"/>
          <w:sz w:val="22"/>
        </w:rPr>
        <w:t xml:space="preserve">(15,22)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The following procedures for access to confidential records are in addition to those specified for all authority records in rule </w:t>
      </w:r>
      <w:hyperlink r:id="rId16">
        <w:r>
          <w:rPr>
            <w:rStyle w:val="Hyperlink"/>
            <w:rFonts w:ascii="Times New Roman" w:hAnsi="Times New Roman"/>
            <w:b w:val="false"/>
            <w:i w:val="false"/>
            <w:color w:val="000000"/>
            <w:sz w:val="22"/>
          </w:rPr>
          <w:t>261—195.2</w:t>
        </w:r>
      </w:hyperlink>
      <w:r>
        <w:rPr>
          <w:rFonts w:ascii="Times New Roman" w:hAnsi="Times New Roman"/>
          <w:b w:val="false"/>
          <w:i w:val="false"/>
          <w:color w:val="000000"/>
          <w:sz w:val="22"/>
        </w:rPr>
        <w:t>(15,22).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195.3(1)</w:t>
      </w:r>
      <w:r>
        <w:rPr>
          <w:rFonts w:ascii="Times New Roman" w:hAnsi="Times New Roman"/>
          <w:b w:val="false"/>
          <w:i w:val="false"/>
          <w:color w:val="000000"/>
          <w:sz w:val="22"/>
        </w:rPr>
        <w:t> </w:t>
      </w:r>
      <w:r>
        <w:rPr>
          <w:rFonts w:ascii="Times New Roman" w:hAnsi="Times New Roman"/>
          <w:b w:val="false"/>
          <w:i w:val="false"/>
          <w:color w:val="000000"/>
          <w:sz w:val="22"/>
        </w:rPr>
        <w:t>A person requesting access to a confidential record may be required to provide proof of identity or authority if access to the record is limited to a particular person or class of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195.3(2)</w:t>
      </w:r>
      <w:r>
        <w:rPr>
          <w:rFonts w:ascii="Times New Roman" w:hAnsi="Times New Roman"/>
          <w:b w:val="false"/>
          <w:i w:val="false"/>
          <w:color w:val="000000"/>
          <w:sz w:val="22"/>
        </w:rPr>
        <w:t> </w:t>
      </w:r>
      <w:r>
        <w:rPr>
          <w:rFonts w:ascii="Times New Roman" w:hAnsi="Times New Roman"/>
          <w:b w:val="false"/>
          <w:i w:val="false"/>
          <w:color w:val="000000"/>
          <w:sz w:val="22"/>
        </w:rPr>
        <w:t>The authority may require a request for access to a confidential record to be in writing. A person requesting access to a confidential record may be required to sign a certified statement or affidavit enumerating the specific grounds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195.3(3)</w:t>
      </w:r>
      <w:r>
        <w:rPr>
          <w:rFonts w:ascii="Times New Roman" w:hAnsi="Times New Roman"/>
          <w:b w:val="false"/>
          <w:i w:val="false"/>
          <w:color w:val="000000"/>
          <w:sz w:val="22"/>
        </w:rPr>
        <w:t> </w:t>
      </w:r>
      <w:r>
        <w:rPr>
          <w:rFonts w:ascii="Times New Roman" w:hAnsi="Times New Roman"/>
          <w:b w:val="false"/>
          <w:i w:val="false"/>
          <w:color w:val="000000"/>
          <w:sz w:val="22"/>
        </w:rPr>
        <w:t>When the authority denies a request for access to a confidential record, in whole or in part, the requester shall be notified in writing. The written notice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person or persons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grounds for the denial, including a citation to the applicable provision of law vesting authority in the authority to deny disclosure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195.3(4)</w:t>
      </w:r>
      <w:r>
        <w:rPr>
          <w:rFonts w:ascii="Times New Roman" w:hAnsi="Times New Roman"/>
          <w:b w:val="false"/>
          <w:i w:val="false"/>
          <w:color w:val="000000"/>
          <w:sz w:val="22"/>
        </w:rPr>
        <w:t> </w:t>
      </w:r>
      <w:r>
        <w:rPr>
          <w:rFonts w:ascii="Times New Roman" w:hAnsi="Times New Roman"/>
          <w:b w:val="false"/>
          <w:i w:val="false"/>
          <w:color w:val="000000"/>
          <w:sz w:val="22"/>
        </w:rPr>
        <w:t>When the authority grants a request for access to a confidential record to a particular person, the authority will indicate any lawful restrictions imposed by the authority on that person’s examination and copying of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261—195.4</w:t>
      </w:r>
      <w:r>
        <w:rPr>
          <w:rFonts w:ascii="Times New Roman" w:hAnsi="Times New Roman"/>
          <w:b/>
          <w:i w:val="false"/>
          <w:color w:val="000000"/>
          <w:sz w:val="22"/>
        </w:rPr>
        <w:t xml:space="preserve">(15,22) </w:t>
      </w:r>
      <w:r>
        <w:rPr>
          <w:rFonts w:ascii="Times New Roman" w:hAnsi="Times New Roman"/>
          <w:b/>
          <w:i w:val="false"/>
          <w:color w:val="000000"/>
          <w:sz w:val="22"/>
        </w:rPr>
        <w:t xml:space="preserve">Requests for confidential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195.4(1)</w:t>
      </w:r>
      <w:r>
        <w:rPr>
          <w:rFonts w:ascii="Times New Roman" w:hAnsi="Times New Roman"/>
          <w:b w:val="false"/>
          <w:i w:val="false"/>
          <w:color w:val="000000"/>
          <w:sz w:val="22"/>
        </w:rPr>
        <w:t> </w:t>
      </w:r>
      <w:r>
        <w:rPr>
          <w:rFonts w:ascii="Times New Roman" w:hAnsi="Times New Roman"/>
          <w:b w:val="false"/>
          <w:i w:val="false"/>
          <w:color w:val="000000"/>
          <w:sz w:val="22"/>
        </w:rPr>
        <w:t>A request for confidential treatment must be submitted in writing to the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information for which confidential treatment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legal and factual basis for confidential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the name, address, telephone number, and email address if available of the person authorized to respond to any inquiry or action of the authority concerning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Specify the precise period of time for which the confidential treatment is requested,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195.4(2)</w:t>
      </w:r>
      <w:r>
        <w:rPr>
          <w:rFonts w:ascii="Times New Roman" w:hAnsi="Times New Roman"/>
          <w:b w:val="false"/>
          <w:i w:val="false"/>
          <w:color w:val="000000"/>
          <w:sz w:val="22"/>
        </w:rPr>
        <w:t> </w:t>
      </w:r>
      <w:r>
        <w:rPr>
          <w:rFonts w:ascii="Times New Roman" w:hAnsi="Times New Roman"/>
          <w:b w:val="false"/>
          <w:i w:val="false"/>
          <w:color w:val="000000"/>
          <w:sz w:val="22"/>
        </w:rPr>
        <w:t>The authority may request additional factual information from the person requesting confidential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must notify the requester in writing of the granting or denial of the request. If a request for confidential treatment is denied, the authority shall notify the requester in writing of the reasons for the authority’s denial. Pursuant to Iowa Code section </w:t>
      </w:r>
      <w:hyperlink r:id="rId17">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the authority may reasonably delay examination of the record. However, if the authority determines that the requester had no reasonable grounds for the request for confidential treatment, then such record shall not be withheld from public inspection for any period of time after the denial of the request. The authority may notify the requester in writing of the time period allowed to seek injunctive relief or the reasons for the determination that no reasonable grounds exist to justify the treatment of that record as a confidential record. The authority may extend the period of good faith, reasonable delay in allowing examination of the record so that the requester may seek injunctive relief only if no request for examination of that record has been received, or if a court directs the authority to treat the record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195.4(4)</w:t>
      </w:r>
      <w:r>
        <w:rPr>
          <w:rFonts w:ascii="Times New Roman" w:hAnsi="Times New Roman"/>
          <w:b w:val="false"/>
          <w:i w:val="false"/>
          <w:color w:val="000000"/>
          <w:sz w:val="22"/>
        </w:rPr>
        <w:t> </w:t>
      </w:r>
      <w:r>
        <w:rPr>
          <w:rFonts w:ascii="Times New Roman" w:hAnsi="Times New Roman"/>
          <w:b w:val="false"/>
          <w:i w:val="false"/>
          <w:color w:val="000000"/>
          <w:sz w:val="22"/>
        </w:rPr>
        <w:t>Failure of a person to request confidential treatment for a record does not preclude the authority from treating the record as a confidential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261—195.5</w:t>
      </w:r>
      <w:r>
        <w:rPr>
          <w:rFonts w:ascii="Times New Roman" w:hAnsi="Times New Roman"/>
          <w:b/>
          <w:i w:val="false"/>
          <w:color w:val="000000"/>
          <w:sz w:val="22"/>
        </w:rPr>
        <w:t xml:space="preserve">(15,22) </w:t>
      </w:r>
      <w:r>
        <w:rPr>
          <w:rFonts w:ascii="Times New Roman" w:hAnsi="Times New Roman"/>
          <w:b/>
          <w:i w:val="false"/>
          <w:color w:val="000000"/>
          <w:sz w:val="22"/>
        </w:rPr>
        <w:t xml:space="preserve">Additions, dissents or objections. </w:t>
      </w:r>
      <w:r>
        <w:rPr>
          <w:rFonts w:ascii="Times New Roman" w:hAnsi="Times New Roman"/>
          <w:b w:val="false"/>
          <w:i w:val="false"/>
          <w:color w:val="000000"/>
          <w:sz w:val="22"/>
        </w:rPr>
        <w:t>Except as otherwise provided by law, the person who is the subject of a record may have a written statement of additions, dissents or objections entered into that record. The statement must be filed with the authority, be dated and signed by the person who is the subject of the record, and include the person’s current address and telephone number, and email address if available. This rule does not authorize the person who is the subject of the record to alter the original record or to expand the official record of any authority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261—195.6</w:t>
      </w:r>
      <w:r>
        <w:rPr>
          <w:rFonts w:ascii="Times New Roman" w:hAnsi="Times New Roman"/>
          <w:b/>
          <w:i w:val="false"/>
          <w:color w:val="000000"/>
          <w:sz w:val="22"/>
        </w:rPr>
        <w:t xml:space="preserve">(15,22) </w:t>
      </w:r>
      <w:r>
        <w:rPr>
          <w:rFonts w:ascii="Times New Roman" w:hAnsi="Times New Roman"/>
          <w:b/>
          <w:i w:val="false"/>
          <w:color w:val="000000"/>
          <w:sz w:val="22"/>
        </w:rPr>
        <w:t xml:space="preserve">Notices to suppliers of information. </w:t>
      </w:r>
      <w:r>
        <w:rPr>
          <w:rFonts w:ascii="Times New Roman" w:hAnsi="Times New Roman"/>
          <w:b w:val="false"/>
          <w:i w:val="false"/>
          <w:color w:val="000000"/>
          <w:sz w:val="22"/>
        </w:rPr>
        <w:t>The authority will notify suppliers of information of the use that will be made of the information, which persons outside the authority might routinely be provided the information collected and identify which parts of the requested information are required and which are optional and will state the consequences of failing to provide the information. This notice may be given in the authority’s rules, on written forms used to collect the information, in contracts, in program guidance, verbally, or by other appropriate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261—195.7</w:t>
      </w:r>
      <w:r>
        <w:rPr>
          <w:rFonts w:ascii="Times New Roman" w:hAnsi="Times New Roman"/>
          <w:b/>
          <w:i w:val="false"/>
          <w:color w:val="000000"/>
          <w:sz w:val="22"/>
        </w:rPr>
        <w:t xml:space="preserve">(15,22) </w:t>
      </w:r>
      <w:r>
        <w:rPr>
          <w:rFonts w:ascii="Times New Roman" w:hAnsi="Times New Roman"/>
          <w:b/>
          <w:i w:val="false"/>
          <w:color w:val="000000"/>
          <w:sz w:val="22"/>
        </w:rPr>
        <w:t xml:space="preserve">Disclosure of records—consent.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195.7(1)</w:t>
      </w:r>
      <w:r>
        <w:rPr>
          <w:rFonts w:ascii="Times New Roman" w:hAnsi="Times New Roman"/>
          <w:b w:val="false"/>
          <w:i w:val="false"/>
          <w:color w:val="000000"/>
          <w:sz w:val="22"/>
        </w:rPr>
        <w:t> </w:t>
      </w:r>
      <w:r>
        <w:rPr>
          <w:rFonts w:ascii="Times New Roman" w:hAnsi="Times New Roman"/>
          <w:b w:val="false"/>
          <w:i/>
          <w:color w:val="000000"/>
          <w:sz w:val="22"/>
        </w:rPr>
        <w:t xml:space="preserve">Disclosure for routine use. </w:t>
      </w:r>
      <w:r>
        <w:rPr>
          <w:rFonts w:ascii="Times New Roman" w:hAnsi="Times New Roman"/>
          <w:b w:val="false"/>
          <w:i w:val="false"/>
          <w:color w:val="000000"/>
          <w:sz w:val="22"/>
        </w:rPr>
        <w:t>In this chapter, “routine use” means the disclosure of a record without the consent of the subject or subjects, for a purpose that is compatible with the purpose for which the record was collected. To the extent allowed by law, the following uses are considered routine uses of all authority records, including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authority who have a need for the record in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to a contractor, including but not limited to the department of inspections, appeals, and licensing, for matters in which the contractor is performing services or functions on behalf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authority, to other state agencies, or to units of local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authority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195.7(2)</w:t>
      </w:r>
      <w:r>
        <w:rPr>
          <w:rFonts w:ascii="Times New Roman" w:hAnsi="Times New Roman"/>
          <w:b w:val="false"/>
          <w:i w:val="false"/>
          <w:color w:val="000000"/>
          <w:sz w:val="22"/>
        </w:rPr>
        <w:t> </w:t>
      </w:r>
      <w:r>
        <w:rPr>
          <w:rFonts w:ascii="Times New Roman" w:hAnsi="Times New Roman"/>
          <w:b w:val="false"/>
          <w:i/>
          <w:color w:val="000000"/>
          <w:sz w:val="22"/>
        </w:rPr>
        <w:t xml:space="preserve">Other disclosures of confidential records. </w:t>
      </w:r>
      <w:r>
        <w:rPr>
          <w:rFonts w:ascii="Times New Roman" w:hAnsi="Times New Roman"/>
          <w:b w:val="false"/>
          <w:i w:val="false"/>
          <w:color w:val="000000"/>
          <w:sz w:val="22"/>
        </w:rPr>
        <w:t>To the extent allowed by law, the following uses may result in disclosure of confidential records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a recipient who has provided the authority with advance written assurance that the record will be used solely as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another government agency or to an instrumentality of any governmental jurisdiction within or under the control of the United States for a civil or criminal law enforcement activity if the activity is authorized by law, and if the head of such government agency or instrumentality has submitted a written request to the authority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Disclosure pursuant to a showing of compelling circumstances affecting the health or safety of any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to the legislative services agency under Iowa Code section </w:t>
      </w:r>
      <w:hyperlink r:id="rId18">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Disclosure in response to a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195.7(3)</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the subject or to a third party. A request for such a disclosure must be in writing and must identify the particular record or records that may be disclosed, and the particular person or class of persons to whom the record may be disclosed and, if applicable, the time period during which the record may be disclosed. The person who is the subject of the record and, if applicable, the person to whom the record is to be disclosed may be required to provide proof of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record has multiple subjects with interest in the confidentiality of the record, the authority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261—195.8</w:t>
      </w:r>
      <w:r>
        <w:rPr>
          <w:rFonts w:ascii="Times New Roman" w:hAnsi="Times New Roman"/>
          <w:b/>
          <w:i w:val="false"/>
          <w:color w:val="000000"/>
          <w:sz w:val="22"/>
        </w:rPr>
        <w:t xml:space="preserve">(15,22)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195.8(1)</w:t>
      </w:r>
      <w:r>
        <w:rPr>
          <w:rFonts w:ascii="Times New Roman" w:hAnsi="Times New Roman"/>
          <w:b w:val="false"/>
          <w:i w:val="false"/>
          <w:color w:val="000000"/>
          <w:sz w:val="22"/>
        </w:rPr>
        <w:t> </w:t>
      </w:r>
      <w:r>
        <w:rPr>
          <w:rFonts w:ascii="Times New Roman" w:hAnsi="Times New Roman"/>
          <w:b w:val="false"/>
          <w:i w:val="false"/>
          <w:color w:val="000000"/>
          <w:sz w:val="22"/>
        </w:rPr>
        <w:t>Authority open records are open for public inspection and copying unless otherwise prohibited by current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195.8(2)</w:t>
      </w:r>
      <w:r>
        <w:rPr>
          <w:rFonts w:ascii="Times New Roman" w:hAnsi="Times New Roman"/>
          <w:b w:val="false"/>
          <w:i w:val="false"/>
          <w:color w:val="000000"/>
          <w:sz w:val="22"/>
        </w:rPr>
        <w:t> </w:t>
      </w:r>
      <w:r>
        <w:rPr>
          <w:rFonts w:ascii="Times New Roman" w:hAnsi="Times New Roman"/>
          <w:b w:val="false"/>
          <w:i w:val="false"/>
          <w:color w:val="000000"/>
          <w:sz w:val="22"/>
        </w:rPr>
        <w:t xml:space="preserve">Certain records identified in rules </w:t>
      </w:r>
      <w:hyperlink r:id="rId19">
        <w:r>
          <w:rPr>
            <w:rStyle w:val="Hyperlink"/>
            <w:rFonts w:ascii="Times New Roman" w:hAnsi="Times New Roman"/>
            <w:b w:val="false"/>
            <w:i w:val="false"/>
            <w:color w:val="000000"/>
            <w:sz w:val="22"/>
          </w:rPr>
          <w:t>261—195.9</w:t>
        </w:r>
      </w:hyperlink>
      <w:r>
        <w:rPr>
          <w:rFonts w:ascii="Times New Roman" w:hAnsi="Times New Roman"/>
          <w:b w:val="false"/>
          <w:i w:val="false"/>
          <w:color w:val="000000"/>
          <w:sz w:val="22"/>
        </w:rPr>
        <w:t xml:space="preserve">(15,22) and </w:t>
      </w:r>
      <w:hyperlink r:id="rId20">
        <w:r>
          <w:rPr>
            <w:rStyle w:val="Hyperlink"/>
            <w:rFonts w:ascii="Times New Roman" w:hAnsi="Times New Roman"/>
            <w:b w:val="false"/>
            <w:i w:val="false"/>
            <w:color w:val="000000"/>
            <w:sz w:val="22"/>
          </w:rPr>
          <w:t>261—195.10</w:t>
        </w:r>
      </w:hyperlink>
      <w:r>
        <w:rPr>
          <w:rFonts w:ascii="Times New Roman" w:hAnsi="Times New Roman"/>
          <w:b w:val="false"/>
          <w:i w:val="false"/>
          <w:color w:val="000000"/>
          <w:sz w:val="22"/>
        </w:rPr>
        <w:t xml:space="preserve">(15,22), or otherwise maintained by the authority, may be confidential records, in whole or in part, and not routinely made available for public inspection pursuant to Iowa Code section </w:t>
      </w:r>
      <w:hyperlink r:id="rId21">
        <w:r>
          <w:rPr>
            <w:rStyle w:val="Hyperlink"/>
            <w:rFonts w:ascii="Times New Roman" w:hAnsi="Times New Roman"/>
            <w:b w:val="false"/>
            <w:i w:val="false"/>
            <w:color w:val="000000"/>
            <w:sz w:val="22"/>
          </w:rPr>
          <w:t>15.118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22A.2</w:t>
        </w:r>
      </w:hyperlink>
      <w:r>
        <w:rPr>
          <w:rFonts w:ascii="Times New Roman" w:hAnsi="Times New Roman"/>
          <w:b w:val="false"/>
          <w:i w:val="false"/>
          <w:color w:val="000000"/>
          <w:sz w:val="22"/>
        </w:rPr>
        <w:t xml:space="preserve"> or other applicable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261—195.9</w:t>
      </w:r>
      <w:r>
        <w:rPr>
          <w:rFonts w:ascii="Times New Roman" w:hAnsi="Times New Roman"/>
          <w:b/>
          <w:i w:val="false"/>
          <w:color w:val="000000"/>
          <w:sz w:val="22"/>
        </w:rPr>
        <w:t xml:space="preserve">(15,22)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195.9(1)</w:t>
      </w:r>
      <w:r>
        <w:rPr>
          <w:rFonts w:ascii="Times New Roman" w:hAnsi="Times New Roman"/>
          <w:b w:val="false"/>
          <w:i w:val="false"/>
          <w:color w:val="000000"/>
          <w:sz w:val="22"/>
        </w:rPr>
        <w:t> </w:t>
      </w:r>
      <w:r>
        <w:rPr>
          <w:rFonts w:ascii="Times New Roman" w:hAnsi="Times New Roman"/>
          <w:b w:val="false"/>
          <w:i/>
          <w:color w:val="000000"/>
          <w:sz w:val="22"/>
        </w:rPr>
        <w:t xml:space="preserve">Collection, maintenance, and retrieval. </w:t>
      </w:r>
      <w:r>
        <w:rPr>
          <w:rFonts w:ascii="Times New Roman" w:hAnsi="Times New Roman"/>
          <w:b w:val="false"/>
          <w:i w:val="false"/>
          <w:color w:val="000000"/>
          <w:sz w:val="22"/>
        </w:rPr>
        <w:t xml:space="preserve">The authority collects personally identifiable information pursuant to Iowa Code provisions relating to the responsibilities of the authority, including but not limited to Iowa Code chapters </w:t>
      </w:r>
      <w:hyperlink r:id="rId24">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15E</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15J</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473</w:t>
        </w:r>
      </w:hyperlink>
      <w:r>
        <w:rPr>
          <w:rFonts w:ascii="Times New Roman" w:hAnsi="Times New Roman"/>
          <w:b w:val="false"/>
          <w:i w:val="false"/>
          <w:color w:val="000000"/>
          <w:sz w:val="22"/>
        </w:rPr>
        <w:t xml:space="preserve">; Iowa Code sections </w:t>
      </w:r>
      <w:hyperlink r:id="rId30">
        <w:r>
          <w:rPr>
            <w:rStyle w:val="Hyperlink"/>
            <w:rFonts w:ascii="Times New Roman" w:hAnsi="Times New Roman"/>
            <w:b w:val="false"/>
            <w:i w:val="false"/>
            <w:color w:val="000000"/>
            <w:sz w:val="22"/>
          </w:rPr>
          <w:t>403.19A</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476.46A</w:t>
        </w:r>
      </w:hyperlink>
      <w:r>
        <w:rPr>
          <w:rFonts w:ascii="Times New Roman" w:hAnsi="Times New Roman"/>
          <w:b w:val="false"/>
          <w:i w:val="false"/>
          <w:color w:val="000000"/>
          <w:sz w:val="22"/>
        </w:rPr>
        <w:t>; and other applicable laws relating to the responsibilities of the authority. Personally identifiable information is stored by electronic and physical methods. The authority’s record systems do not match, collate or compare personally identifiable information in each system with personally identifiable information contained in other record systems. The authority’s record systems can collect, maintain and retrieve information by personal identifiers, including names, mailing addresses, and email addresses. This rule describes the nature and extent of personally identifiable information that is collected, maintained and retrieved by the authority by personal identifier in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195.9(2)</w:t>
      </w:r>
      <w:r>
        <w:rPr>
          <w:rFonts w:ascii="Times New Roman" w:hAnsi="Times New Roman"/>
          <w:b w:val="false"/>
          <w:i w:val="false"/>
          <w:color w:val="000000"/>
          <w:sz w:val="22"/>
        </w:rPr>
        <w:t> </w:t>
      </w:r>
      <w:r>
        <w:rPr>
          <w:rFonts w:ascii="Times New Roman" w:hAnsi="Times New Roman"/>
          <w:b w:val="false"/>
          <w:i/>
          <w:color w:val="000000"/>
          <w:sz w:val="22"/>
        </w:rPr>
        <w:t xml:space="preserve">Program records. </w:t>
      </w:r>
      <w:r>
        <w:rPr>
          <w:rFonts w:ascii="Times New Roman" w:hAnsi="Times New Roman"/>
          <w:b w:val="false"/>
          <w:i w:val="false"/>
          <w:color w:val="000000"/>
          <w:sz w:val="22"/>
        </w:rPr>
        <w:t xml:space="preserve">Records of persons or organizations participating in the authority’s programs are collected by the authority. These records may contain information about individuals collected pursuant to specific federal or state statutes or regulations. Personally identifiable information, such as name, address, social security number and telephone number, may be included in these records when the applicant is an individual. Portions of program records may be confidential pursuant to Iowa Code section </w:t>
      </w:r>
      <w:hyperlink r:id="rId3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195.9(3)</w:t>
      </w:r>
      <w:r>
        <w:rPr>
          <w:rFonts w:ascii="Times New Roman" w:hAnsi="Times New Roman"/>
          <w:b w:val="false"/>
          <w:i w:val="false"/>
          <w:color w:val="000000"/>
          <w:sz w:val="22"/>
        </w:rPr>
        <w:t> </w:t>
      </w:r>
      <w:r>
        <w:rPr>
          <w:rFonts w:ascii="Times New Roman" w:hAnsi="Times New Roman"/>
          <w:b w:val="false"/>
          <w:i/>
          <w:color w:val="000000"/>
          <w:sz w:val="22"/>
        </w:rPr>
        <w:t xml:space="preserve">Correspondence. </w:t>
      </w:r>
      <w:r>
        <w:rPr>
          <w:rFonts w:ascii="Times New Roman" w:hAnsi="Times New Roman"/>
          <w:b w:val="false"/>
          <w:i w:val="false"/>
          <w:color w:val="000000"/>
          <w:sz w:val="22"/>
        </w:rPr>
        <w:t xml:space="preserve">Records of correspondence from persons outside the authority or sent to persons outside the authority may contain personally identifiable information provided by the sender or recipient of such correspondence. Portions of correspondence may be confidential pursuant to Iowa Code section </w:t>
      </w:r>
      <w:hyperlink r:id="rId3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195.9(4)</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 authority maintains records regarding litigation or anticipated litigation, which includes judicial and administrative proceedings. These records contain materials that are confidential as attorney work product and attorney-client communications pursuant to Iowa Code sections </w:t>
      </w:r>
      <w:hyperlink r:id="rId34">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Rule of Civil Procedure 1.503(3); Federal Rule of Civil Procedure 26(b)(3); the rules of evidence; the Code of Professional Responsibility; and case law. Some materials are confidential under other applicable provisions of law or as directed by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195.9(5)</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authority maintains files containing information about employees, families and dependents, and applicants for positions with the authority. Portions of personnel files may be confidential pursuant to Iowa Code section </w:t>
      </w:r>
      <w:hyperlink r:id="rId3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261—195.10</w:t>
      </w:r>
      <w:r>
        <w:rPr>
          <w:rFonts w:ascii="Times New Roman" w:hAnsi="Times New Roman"/>
          <w:b/>
          <w:i w:val="false"/>
          <w:color w:val="000000"/>
          <w:sz w:val="22"/>
        </w:rPr>
        <w:t xml:space="preserve">(15,22)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authority other than record systems. These records are routinely available to the public. All or portions of such records may contain confidential information pursuant to Iowa Code section </w:t>
      </w:r>
      <w:hyperlink r:id="rId3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 The records are stored by electronic and physical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3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195.10(2)</w:t>
      </w:r>
      <w:r>
        <w:rPr>
          <w:rFonts w:ascii="Times New Roman" w:hAnsi="Times New Roman"/>
          <w:b w:val="false"/>
          <w:i w:val="false"/>
          <w:color w:val="000000"/>
          <w:sz w:val="22"/>
        </w:rPr>
        <w:t> </w:t>
      </w:r>
      <w:r>
        <w:rPr>
          <w:rFonts w:ascii="Times New Roman" w:hAnsi="Times New Roman"/>
          <w:b w:val="false"/>
          <w:i/>
          <w:color w:val="000000"/>
          <w:sz w:val="22"/>
        </w:rPr>
        <w:t xml:space="preserve">Meeting records. </w:t>
      </w:r>
      <w:r>
        <w:rPr>
          <w:rFonts w:ascii="Times New Roman" w:hAnsi="Times New Roman"/>
          <w:b w:val="false"/>
          <w:i w:val="false"/>
          <w:color w:val="000000"/>
          <w:sz w:val="22"/>
        </w:rPr>
        <w:t xml:space="preserve">Agendas, minutes and materials presented to boards and other bodies associated with the authority are available from the authority, except those records concerning closed sessions that are exempt from disclosure under Iowa Code section </w:t>
      </w:r>
      <w:hyperlink r:id="rId40">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that are otherwise confidential by law. Authority meeting records contain information about people who participate in meetings. The information is collected pursuant to Iowa Code section </w:t>
      </w:r>
      <w:hyperlink r:id="rId41">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newsletters, and related documents are available from the authority. Authority news releases, project reports, and newsletters may contain information about individuals, including authority staff. This information is not retrieved by individual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authority programs are available from the authority. Statistical reports do not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authority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authority employees’ manual, containing procedures describing the authority’s regulations and practices, is available.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195.10(7)</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 from disclosure by law are available from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261—195.11</w:t>
      </w:r>
      <w:r>
        <w:rPr>
          <w:rFonts w:ascii="Times New Roman" w:hAnsi="Times New Roman"/>
          <w:b/>
          <w:i w:val="false"/>
          <w:color w:val="000000"/>
          <w:sz w:val="22"/>
        </w:rPr>
        <w:t xml:space="preserve">(15,22)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195.11(1)</w:t>
      </w:r>
      <w:r>
        <w:rPr>
          <w:rFonts w:ascii="Times New Roman" w:hAnsi="Times New Roman"/>
          <w:b w:val="false"/>
          <w:i w:val="false"/>
          <w:color w:val="000000"/>
          <w:sz w:val="22"/>
        </w:rPr>
        <w:t> </w:t>
      </w:r>
      <w:r>
        <w:rPr>
          <w:rFonts w:ascii="Times New Roman" w:hAnsi="Times New Roman"/>
          <w:b w:val="false"/>
          <w:i w:val="false"/>
          <w:color w:val="000000"/>
          <w:sz w:val="22"/>
        </w:rPr>
        <w:t>Require the authority to index or retrieve records that contain information about an individual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195.11(2)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pursuant to Iowa Code chapter </w:t>
      </w:r>
      <w:hyperlink r:id="rId4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195.11(3)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authority that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195.11(4)</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authority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rules of discovery, evidentiary privileges and applicable regulations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3">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5/27/88 after Notice 4/20/88—published 6/15/88, effective 7/1/88]</w:t>
      </w:r>
    </w:p>
    <w:p>
      <w:pPr>
        <w:spacing w:before="0" w:after="0"/>
        <w:ind w:left="120"/>
        <w:jc w:val="center"/>
      </w:pPr>
      <w:r>
        <w:rPr>
          <w:rFonts w:ascii="Times New Roman" w:hAnsi="Times New Roman"/>
          <w:b w:val="false"/>
          <w:i w:val="false"/>
          <w:color w:val="000000"/>
          <w:sz w:val="21"/>
        </w:rPr>
        <w:t>[Filed without Notice 8/18/00—published 9/6/00, effective 10/11/00]</w:t>
      </w:r>
    </w:p>
    <w:p>
      <w:pPr>
        <w:spacing w:before="0" w:after="0"/>
        <w:ind w:left="120"/>
        <w:jc w:val="center"/>
      </w:pPr>
      <w:r>
        <w:rPr>
          <w:rFonts w:ascii="Times New Roman" w:hAnsi="Times New Roman"/>
          <w:b w:val="false"/>
          <w:i w:val="false"/>
          <w:color w:val="000000"/>
          <w:sz w:val="21"/>
        </w:rPr>
        <w:t>[Filed 6/20/03, Notice 4/16/04—published 7/9/03, effective 8/13/03]</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ARC 9138C</w:t>
      </w:r>
      <w:r>
        <w:rPr>
          <w:rFonts w:ascii="Times New Roman" w:hAnsi="Times New Roman"/>
          <w:b w:val="false"/>
          <w:i w:val="false"/>
          <w:color w:val="000000"/>
          <w:sz w:val="21"/>
        </w:rPr>
        <w:t xml:space="preserve"> (Notice ARC 8663C, IAB 12/25/24)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18.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co/chapter/22.1.pdf" Type="http://schemas.openxmlformats.org/officeDocument/2006/relationships/hyperlink" Id="rId9"/>
    <Relationship TargetMode="External" Target="https://www.legis.iowa.gov/docs/iac/rule/261.195.4.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22.10.pdf" Type="http://schemas.openxmlformats.org/officeDocument/2006/relationships/hyperlink" Id="rId13"/>
    <Relationship TargetMode="External" Target="https://www.legis.iowa.gov/docs/ico/chapter/22.3.pdf" Type="http://schemas.openxmlformats.org/officeDocument/2006/relationships/hyperlink" Id="rId14"/>
    <Relationship TargetMode="External" Target="https://www.legis.iowa.gov/docs/ico/chapter/22.3.pdf" Type="http://schemas.openxmlformats.org/officeDocument/2006/relationships/hyperlink" Id="rId15"/>
    <Relationship TargetMode="External" Target="https://www.legis.iowa.gov/docs/iac/rule/261.195.2.pdf" Type="http://schemas.openxmlformats.org/officeDocument/2006/relationships/hyperlink" Id="rId16"/>
    <Relationship TargetMode="External" Target="https://www.legis.iowa.gov/docs/ico/chapter/22.8.pdf" Type="http://schemas.openxmlformats.org/officeDocument/2006/relationships/hyperlink" Id="rId17"/>
    <Relationship TargetMode="External" Target="https://www.legis.iowa.gov/docs/ico/chapter/2A.3.pdf" Type="http://schemas.openxmlformats.org/officeDocument/2006/relationships/hyperlink" Id="rId18"/>
    <Relationship TargetMode="External" Target="https://www.legis.iowa.gov/docs/iac/rule/261.195.9.pdf" Type="http://schemas.openxmlformats.org/officeDocument/2006/relationships/hyperlink" Id="rId19"/>
    <Relationship TargetMode="External" Target="https://www.legis.iowa.gov/docs/iac/rule/261.195.10.pdf" Type="http://schemas.openxmlformats.org/officeDocument/2006/relationships/hyperlink" Id="rId20"/>
    <Relationship TargetMode="External" Target="https://www.legis.iowa.gov/docs/ico/chapter/15.118.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A.2.pdf" Type="http://schemas.openxmlformats.org/officeDocument/2006/relationships/hyperlink" Id="rId23"/>
    <Relationship TargetMode="External" Target="https://www.legis.iowa.gov/docs/ico/chapter/15.pdf" Type="http://schemas.openxmlformats.org/officeDocument/2006/relationships/hyperlink" Id="rId24"/>
    <Relationship TargetMode="External" Target="https://www.legis.iowa.gov/docs/ico/chapter/15E.pdf" Type="http://schemas.openxmlformats.org/officeDocument/2006/relationships/hyperlink" Id="rId25"/>
    <Relationship TargetMode="External" Target="https://www.legis.iowa.gov/docs/ico/chapter/15J.pdf" Type="http://schemas.openxmlformats.org/officeDocument/2006/relationships/hyperlink" Id="rId26"/>
    <Relationship TargetMode="External" Target="https://www.legis.iowa.gov/docs/ico/chapter/73.pdf" Type="http://schemas.openxmlformats.org/officeDocument/2006/relationships/hyperlink" Id="rId27"/>
    <Relationship TargetMode="External" Target="https://www.legis.iowa.gov/docs/ico/chapter/404A.pdf" Type="http://schemas.openxmlformats.org/officeDocument/2006/relationships/hyperlink" Id="rId28"/>
    <Relationship TargetMode="External" Target="https://www.legis.iowa.gov/docs/ico/chapter/473.pdf" Type="http://schemas.openxmlformats.org/officeDocument/2006/relationships/hyperlink" Id="rId29"/>
    <Relationship TargetMode="External" Target="https://www.legis.iowa.gov/docs/ico/chapter/403.19A.pdf" Type="http://schemas.openxmlformats.org/officeDocument/2006/relationships/hyperlink" Id="rId30"/>
    <Relationship TargetMode="External" Target="https://www.legis.iowa.gov/docs/ico/chapter/476.46A.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22.7.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622.10.pdf" Type="http://schemas.openxmlformats.org/officeDocument/2006/relationships/hyperlink" Id="rId35"/>
    <Relationship TargetMode="External" Target="https://www.legis.iowa.gov/docs/ico/chapter/622.11.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co/chapter/17A.4.pdf" Type="http://schemas.openxmlformats.org/officeDocument/2006/relationships/hyperlink" Id="rId39"/>
    <Relationship TargetMode="External" Target="https://www.legis.iowa.gov/docs/ico/chapter/21.5.pdf" Type="http://schemas.openxmlformats.org/officeDocument/2006/relationships/hyperlink" Id="rId40"/>
    <Relationship TargetMode="External" Target="https://www.legis.iowa.gov/docs/ico/chapter/21.3.pdf" Type="http://schemas.openxmlformats.org/officeDocument/2006/relationships/hyperlink" Id="rId41"/>
    <Relationship TargetMode="External" Target="https://www.legis.iowa.gov/docs/ico/chapter/22.pdf" Type="http://schemas.openxmlformats.org/officeDocument/2006/relationships/hyperlink" Id="rId42"/>
    <Relationship TargetMode="External" Target="https://www.legis.iowa.gov/docs/ico/chapter/15.pdf" Type="http://schemas.openxmlformats.org/officeDocument/2006/relationships/hyperlink" Id="rId43"/>
    <Relationship TargetMode="External" Target="https://www.legis.iowa.gov/docs/ico/chapter/22.pdf" Type="http://schemas.openxmlformats.org/officeDocument/2006/relationships/hyperlink"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