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117</w:t>
      </w:r>
    </w:p>
    <w:p>
      <w:pPr>
        <w:spacing w:before="0" w:after="0"/>
        <w:ind w:left="120"/>
        <w:jc w:val="center"/>
      </w:pPr>
      <w:r>
        <w:rPr>
          <w:rFonts w:ascii="Times New Roman" w:hAnsi="Times New Roman"/>
          <w:b w:val="false"/>
          <w:i w:val="false"/>
          <w:color w:val="000000"/>
          <w:sz w:val="21"/>
        </w:rPr>
        <w:t>SSBCI DEMONSTRATION FUND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261—117.1</w:t>
      </w:r>
      <w:r>
        <w:rPr>
          <w:rFonts w:ascii="Times New Roman" w:hAnsi="Times New Roman"/>
          <w:b/>
          <w:i w:val="false"/>
          <w:color w:val="000000"/>
          <w:sz w:val="22"/>
        </w:rPr>
        <w:t xml:space="preserve">(84GA,HF590) </w:t>
      </w:r>
      <w:r>
        <w:rPr>
          <w:rFonts w:ascii="Times New Roman" w:hAnsi="Times New Roman"/>
          <w:b/>
          <w:i w:val="false"/>
          <w:color w:val="000000"/>
          <w:sz w:val="22"/>
        </w:rPr>
        <w:t xml:space="preserve">Authority. </w:t>
      </w:r>
      <w:r>
        <w:rPr>
          <w:rFonts w:ascii="Times New Roman" w:hAnsi="Times New Roman"/>
          <w:b w:val="false"/>
          <w:i w:val="false"/>
          <w:color w:val="000000"/>
          <w:sz w:val="22"/>
        </w:rPr>
        <w:t xml:space="preserve">The authority for establishing rules governing the SSBCI demonstration fund under this chapter is provided in </w:t>
      </w:r>
      <w:r>
        <w:rPr>
          <w:rFonts w:ascii="Times New Roman" w:hAnsi="Times New Roman"/>
          <w:b w:val="false"/>
          <w:i w:val="false"/>
          <w:color w:val="000000"/>
          <w:sz w:val="22"/>
        </w:rPr>
        <w:t>2011 Iowa Acts, House File 590</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9846B</w:t>
      </w:r>
      <w:r>
        <w:rPr>
          <w:rFonts w:ascii="Times New Roman" w:hAnsi="Times New Roman"/>
          <w:b w:val="false"/>
          <w:i w:val="false"/>
          <w:color w:val="000000"/>
          <w:sz w:val="16"/>
        </w:rPr>
        <w:t>, IAB 11/16/11, effective 10/26/11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261—117.2</w:t>
      </w:r>
      <w:r>
        <w:rPr>
          <w:rFonts w:ascii="Times New Roman" w:hAnsi="Times New Roman"/>
          <w:b/>
          <w:i w:val="false"/>
          <w:color w:val="000000"/>
          <w:sz w:val="22"/>
        </w:rPr>
        <w:t xml:space="preserve">(84GA,HF590) </w:t>
      </w:r>
      <w:r>
        <w:rPr>
          <w:rFonts w:ascii="Times New Roman" w:hAnsi="Times New Roman"/>
          <w:b/>
          <w:i w:val="false"/>
          <w:color w:val="000000"/>
          <w:sz w:val="22"/>
        </w:rPr>
        <w:t xml:space="preserve">Purposes, goals, and promotion.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117.2(1)</w:t>
      </w:r>
      <w:r>
        <w:rPr>
          <w:rFonts w:ascii="Times New Roman" w:hAnsi="Times New Roman"/>
          <w:b w:val="false"/>
          <w:i w:val="false"/>
          <w:color w:val="000000"/>
          <w:sz w:val="22"/>
        </w:rPr>
        <w:t> </w:t>
      </w:r>
      <w:r>
        <w:rPr>
          <w:rFonts w:ascii="Times New Roman" w:hAnsi="Times New Roman"/>
          <w:b w:val="false"/>
          <w:i/>
          <w:color w:val="000000"/>
          <w:sz w:val="22"/>
        </w:rPr>
        <w:t xml:space="preserve">Purposes. </w:t>
      </w:r>
      <w:r>
        <w:rPr>
          <w:rFonts w:ascii="Times New Roman" w:hAnsi="Times New Roman"/>
          <w:b w:val="false"/>
          <w:i w:val="false"/>
          <w:color w:val="000000"/>
          <w:sz w:val="22"/>
        </w:rPr>
        <w:t>The SSBCI demonstration fund is established to provide financial and technical assistance to innovative entrepreneurs and businesses. The purposes of providing such assistance are to help innovative entrepreneurs overcome the challenges associated with launching new ventures, attract private capital investment, and expand the volume of high-technology prototype and concept development activities which have a clear potential to lead to commercially viable products or services within a reasonable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117.2(2)</w:t>
      </w:r>
      <w:r>
        <w:rPr>
          <w:rFonts w:ascii="Times New Roman" w:hAnsi="Times New Roman"/>
          <w:b w:val="false"/>
          <w:i w:val="false"/>
          <w:color w:val="000000"/>
          <w:sz w:val="22"/>
        </w:rPr>
        <w:t> </w:t>
      </w:r>
      <w:r>
        <w:rPr>
          <w:rFonts w:ascii="Times New Roman" w:hAnsi="Times New Roman"/>
          <w:b w:val="false"/>
          <w:i/>
          <w:color w:val="000000"/>
          <w:sz w:val="22"/>
        </w:rPr>
        <w:t xml:space="preserve">Goals. </w:t>
      </w:r>
      <w:r>
        <w:rPr>
          <w:rFonts w:ascii="Times New Roman" w:hAnsi="Times New Roman"/>
          <w:b w:val="false"/>
          <w:i w:val="false"/>
          <w:color w:val="000000"/>
          <w:sz w:val="22"/>
        </w:rPr>
        <w:t>The fund will be used to help businesses with a high growth potential to reach a position from which they will be able to attract later-stage private sector funding and to leverage as much private investment as possible in accordance with the goals and requirements of the federal SSBCI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117.2(3)</w:t>
      </w:r>
      <w:r>
        <w:rPr>
          <w:rFonts w:ascii="Times New Roman" w:hAnsi="Times New Roman"/>
          <w:b w:val="false"/>
          <w:i w:val="false"/>
          <w:color w:val="000000"/>
          <w:sz w:val="22"/>
        </w:rPr>
        <w:t> </w:t>
      </w:r>
      <w:r>
        <w:rPr>
          <w:rFonts w:ascii="Times New Roman" w:hAnsi="Times New Roman"/>
          <w:b w:val="false"/>
          <w:i/>
          <w:color w:val="000000"/>
          <w:sz w:val="22"/>
        </w:rPr>
        <w:t xml:space="preserve">Promotion. </w:t>
      </w:r>
      <w:r>
        <w:rPr>
          <w:rFonts w:ascii="Times New Roman" w:hAnsi="Times New Roman"/>
          <w:b w:val="false"/>
          <w:i w:val="false"/>
          <w:color w:val="000000"/>
          <w:sz w:val="22"/>
        </w:rPr>
        <w:t xml:space="preserve">The authority will market and promote the fund in a way that reflects the purposes of subrule </w:t>
      </w:r>
      <w:hyperlink r:id="rId5">
        <w:r>
          <w:rPr>
            <w:rStyle w:val="Hyperlink"/>
            <w:rFonts w:ascii="Times New Roman" w:hAnsi="Times New Roman"/>
            <w:b w:val="false"/>
            <w:i w:val="false"/>
            <w:color w:val="000000"/>
            <w:sz w:val="22"/>
          </w:rPr>
          <w:t>117.2(1)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9846B</w:t>
      </w:r>
      <w:r>
        <w:rPr>
          <w:rFonts w:ascii="Times New Roman" w:hAnsi="Times New Roman"/>
          <w:b w:val="false"/>
          <w:i w:val="false"/>
          <w:color w:val="000000"/>
          <w:sz w:val="16"/>
        </w:rPr>
        <w:t>, IAB 11/16/11, effective 10/26/11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261—117.3</w:t>
      </w:r>
      <w:r>
        <w:rPr>
          <w:rFonts w:ascii="Times New Roman" w:hAnsi="Times New Roman"/>
          <w:b/>
          <w:i w:val="false"/>
          <w:color w:val="000000"/>
          <w:sz w:val="22"/>
        </w:rPr>
        <w:t xml:space="preserve">(84GA,HF590)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means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“Award” </w:t>
      </w:r>
      <w:r>
        <w:rPr>
          <w:rFonts w:ascii="Times New Roman" w:hAnsi="Times New Roman"/>
          <w:b w:val="false"/>
          <w:i w:val="false"/>
          <w:color w:val="000000"/>
          <w:sz w:val="22"/>
        </w:rPr>
        <w:t>means the provision of financial or technical assistance to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members of the board in whom the powers of the authority are vested pursuant to Iowa Code chapter </w:t>
      </w:r>
      <w:hyperlink r:id="rId6">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means the technology commercialization committee created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w:t>
      </w:r>
      <w:r>
        <w:rPr>
          <w:rFonts w:ascii="Times New Roman" w:hAnsi="Times New Roman"/>
          <w:b w:val="false"/>
          <w:i w:val="false"/>
          <w:color w:val="000000"/>
          <w:sz w:val="22"/>
        </w:rPr>
        <w:t>means assistance provided only from the funds, rights, and assets legally available to the authority and includes but is not limited to assistance in the form of grants, loans, forgivable loans, and royalty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“Fund” </w:t>
      </w:r>
      <w:r>
        <w:rPr>
          <w:rFonts w:ascii="Times New Roman" w:hAnsi="Times New Roman"/>
          <w:b w:val="false"/>
          <w:i w:val="false"/>
          <w:color w:val="000000"/>
          <w:sz w:val="22"/>
        </w:rPr>
        <w:t>means the SSBCI demonstration fund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“Innovative business” </w:t>
      </w:r>
      <w:r>
        <w:rPr>
          <w:rFonts w:ascii="Times New Roman" w:hAnsi="Times New Roman"/>
          <w:b w:val="false"/>
          <w:i w:val="false"/>
          <w:color w:val="000000"/>
          <w:sz w:val="22"/>
        </w:rPr>
        <w:t>means a business applying novel or original methods to the manufacture of a product or the delivery of a service. “Innovative business” includes a business engaged in one of the following industries classified by the NAICS: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Biosciences.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Information technologies.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Advanced manufacturing.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“IP” </w:t>
      </w:r>
      <w:r>
        <w:rPr>
          <w:rFonts w:ascii="Times New Roman" w:hAnsi="Times New Roman"/>
          <w:b w:val="false"/>
          <w:i w:val="false"/>
          <w:color w:val="000000"/>
          <w:sz w:val="22"/>
        </w:rPr>
        <w:t>means intellectual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“NAICS” </w:t>
      </w:r>
      <w:r>
        <w:rPr>
          <w:rFonts w:ascii="Times New Roman" w:hAnsi="Times New Roman"/>
          <w:b w:val="false"/>
          <w:i w:val="false"/>
          <w:color w:val="000000"/>
          <w:sz w:val="22"/>
        </w:rPr>
        <w:t>means the North American Industry Classification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“SSBCI” </w:t>
      </w:r>
      <w:r>
        <w:rPr>
          <w:rFonts w:ascii="Times New Roman" w:hAnsi="Times New Roman"/>
          <w:b w:val="false"/>
          <w:i w:val="false"/>
          <w:color w:val="000000"/>
          <w:sz w:val="22"/>
        </w:rPr>
        <w:t>means the State Small Business Credit Initiative established by the United States Department of the Treasury.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9846B</w:t>
      </w:r>
      <w:r>
        <w:rPr>
          <w:rFonts w:ascii="Times New Roman" w:hAnsi="Times New Roman"/>
          <w:b w:val="false"/>
          <w:i w:val="false"/>
          <w:color w:val="000000"/>
          <w:sz w:val="16"/>
        </w:rPr>
        <w:t>, IAB 11/16/11, effective 10/26/11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261—117.4</w:t>
      </w:r>
      <w:r>
        <w:rPr>
          <w:rFonts w:ascii="Times New Roman" w:hAnsi="Times New Roman"/>
          <w:b/>
          <w:i w:val="false"/>
          <w:color w:val="000000"/>
          <w:sz w:val="22"/>
        </w:rPr>
        <w:t xml:space="preserve">(84GA,HF590) </w:t>
      </w:r>
      <w:r>
        <w:rPr>
          <w:rFonts w:ascii="Times New Roman" w:hAnsi="Times New Roman"/>
          <w:b/>
          <w:i w:val="false"/>
          <w:color w:val="000000"/>
          <w:sz w:val="22"/>
        </w:rPr>
        <w:t xml:space="preserve">Project funding.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117.4(1)</w:t>
      </w:r>
      <w:r>
        <w:rPr>
          <w:rFonts w:ascii="Times New Roman" w:hAnsi="Times New Roman"/>
          <w:b w:val="false"/>
          <w:i w:val="false"/>
          <w:color w:val="000000"/>
          <w:sz w:val="22"/>
        </w:rPr>
        <w:t> </w:t>
      </w:r>
      <w:r>
        <w:rPr>
          <w:rFonts w:ascii="Times New Roman" w:hAnsi="Times New Roman"/>
          <w:b w:val="false"/>
          <w:i w:val="false"/>
          <w:color w:val="000000"/>
          <w:sz w:val="22"/>
        </w:rPr>
        <w:t xml:space="preserve">Awards shall be made on a per-project basis upon board approval. Each award shall be designed in such a way as to most effectively implement the purposes and goals of the fund as described in rule </w:t>
      </w:r>
      <w:hyperlink r:id="rId7">
        <w:r>
          <w:rPr>
            <w:rStyle w:val="Hyperlink"/>
            <w:rFonts w:ascii="Times New Roman" w:hAnsi="Times New Roman"/>
            <w:b w:val="false"/>
            <w:i w:val="false"/>
            <w:color w:val="000000"/>
            <w:sz w:val="22"/>
          </w:rPr>
          <w:t>261—117.2</w:t>
        </w:r>
      </w:hyperlink>
      <w:r>
        <w:rPr>
          <w:rFonts w:ascii="Times New Roman" w:hAnsi="Times New Roman"/>
          <w:b w:val="false"/>
          <w:i w:val="false"/>
          <w:color w:val="000000"/>
          <w:sz w:val="22"/>
        </w:rPr>
        <w:t>(84GA,HF590).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117.4(2)</w:t>
      </w:r>
      <w:r>
        <w:rPr>
          <w:rFonts w:ascii="Times New Roman" w:hAnsi="Times New Roman"/>
          <w:b w:val="false"/>
          <w:i w:val="false"/>
          <w:color w:val="000000"/>
          <w:sz w:val="22"/>
        </w:rPr>
        <w:t> </w:t>
      </w:r>
      <w:r>
        <w:rPr>
          <w:rFonts w:ascii="Times New Roman" w:hAnsi="Times New Roman"/>
          <w:b w:val="false"/>
          <w:i w:val="false"/>
          <w:color w:val="000000"/>
          <w:sz w:val="22"/>
        </w:rPr>
        <w:t>The board may determine the appropriate amount of financial assistance for a single project based on the merits of the project, the amount of private investment to be leveraged by the project, the amount of moneys available for purposes of the fund, and the requirements of the SSBCI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117.4(3)</w:t>
      </w:r>
      <w:r>
        <w:rPr>
          <w:rFonts w:ascii="Times New Roman" w:hAnsi="Times New Roman"/>
          <w:b w:val="false"/>
          <w:i w:val="false"/>
          <w:color w:val="000000"/>
          <w:sz w:val="22"/>
        </w:rPr>
        <w:t> </w:t>
      </w:r>
      <w:r>
        <w:rPr>
          <w:rFonts w:ascii="Times New Roman" w:hAnsi="Times New Roman"/>
          <w:b w:val="false"/>
          <w:i w:val="false"/>
          <w:color w:val="000000"/>
          <w:sz w:val="22"/>
        </w:rPr>
        <w:t>Funds awarded by the board may be used for intellectual property development and evaluation, in-depth analysis of market potential, analysis of competitive landscape, advancing proof of concept work for a scientific discovery, designing and developing prototypes, conducting research and development to attract venture capital and other financing, marketing and product promotion, hiring of key personnel, purchasing equipment, and paying construction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117.4(4)</w:t>
      </w:r>
      <w:r>
        <w:rPr>
          <w:rFonts w:ascii="Times New Roman" w:hAnsi="Times New Roman"/>
          <w:b w:val="false"/>
          <w:i w:val="false"/>
          <w:color w:val="000000"/>
          <w:sz w:val="22"/>
        </w:rPr>
        <w:t> </w:t>
      </w:r>
      <w:r>
        <w:rPr>
          <w:rFonts w:ascii="Times New Roman" w:hAnsi="Times New Roman"/>
          <w:b w:val="false"/>
          <w:i w:val="false"/>
          <w:color w:val="000000"/>
          <w:sz w:val="22"/>
        </w:rPr>
        <w:t>Funds may not be used for university overhead expenses or for any work that was conducted prior to the term of the contract by the applicant or by any third-party consultant.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117.4(5)</w:t>
      </w:r>
      <w:r>
        <w:rPr>
          <w:rFonts w:ascii="Times New Roman" w:hAnsi="Times New Roman"/>
          <w:b w:val="false"/>
          <w:i w:val="false"/>
          <w:color w:val="000000"/>
          <w:sz w:val="22"/>
        </w:rPr>
        <w:t> </w:t>
      </w:r>
      <w:r>
        <w:rPr>
          <w:rFonts w:ascii="Times New Roman" w:hAnsi="Times New Roman"/>
          <w:b w:val="false"/>
          <w:i w:val="false"/>
          <w:color w:val="000000"/>
          <w:sz w:val="22"/>
        </w:rPr>
        <w:t>The forms of financial assistance may consist of, but are not limited to, loans, forgivable loans, grants and such other forms of assistance the board deems appropriate and consistent with the needs of a given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9846B</w:t>
      </w:r>
      <w:r>
        <w:rPr>
          <w:rFonts w:ascii="Times New Roman" w:hAnsi="Times New Roman"/>
          <w:b w:val="false"/>
          <w:i w:val="false"/>
          <w:color w:val="000000"/>
          <w:sz w:val="16"/>
        </w:rPr>
        <w:t>, IAB 11/16/11, effective 10/26/11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261—117.5</w:t>
      </w:r>
      <w:r>
        <w:rPr>
          <w:rFonts w:ascii="Times New Roman" w:hAnsi="Times New Roman"/>
          <w:b/>
          <w:i w:val="false"/>
          <w:color w:val="000000"/>
          <w:sz w:val="22"/>
        </w:rPr>
        <w:t xml:space="preserve">(84GA,HF590) </w:t>
      </w:r>
      <w:r>
        <w:rPr>
          <w:rFonts w:ascii="Times New Roman" w:hAnsi="Times New Roman"/>
          <w:b/>
          <w:i w:val="false"/>
          <w:color w:val="000000"/>
          <w:sz w:val="22"/>
        </w:rPr>
        <w:t xml:space="preserve">Leverage of financial assistance required. </w:t>
      </w:r>
      <w:r>
        <w:rPr>
          <w:rFonts w:ascii="Times New Roman" w:hAnsi="Times New Roman"/>
          <w:b w:val="false"/>
          <w:i w:val="false"/>
          <w:color w:val="000000"/>
          <w:sz w:val="22"/>
        </w:rPr>
        <w:t>In order to be eligible for financial assistance, an applicant must demonstrate the ability to secure one dollar of private moneys for every one dollar of financial assistance received from the authority. The board shall consider the amount of private moneys leveraged that is in excess of the minimum matching amount required by this rule and shall make awards of financial assistance to those projects that most efficiently leverage the amount of moneys available in the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9846B</w:t>
      </w:r>
      <w:r>
        <w:rPr>
          <w:rFonts w:ascii="Times New Roman" w:hAnsi="Times New Roman"/>
          <w:b w:val="false"/>
          <w:i w:val="false"/>
          <w:color w:val="000000"/>
          <w:sz w:val="16"/>
        </w:rPr>
        <w:t>, IAB 11/16/11, effective 10/26/11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261—117.6</w:t>
      </w:r>
      <w:r>
        <w:rPr>
          <w:rFonts w:ascii="Times New Roman" w:hAnsi="Times New Roman"/>
          <w:b/>
          <w:i w:val="false"/>
          <w:color w:val="000000"/>
          <w:sz w:val="22"/>
        </w:rPr>
        <w:t xml:space="preserve">(84GA,HF590) </w:t>
      </w:r>
      <w:r>
        <w:rPr>
          <w:rFonts w:ascii="Times New Roman" w:hAnsi="Times New Roman"/>
          <w:b/>
          <w:i w:val="false"/>
          <w:color w:val="000000"/>
          <w:sz w:val="22"/>
        </w:rPr>
        <w:t xml:space="preserve">Eligible applicants. </w:t>
      </w:r>
      <w:r>
        <w:rPr>
          <w:rFonts w:ascii="Times New Roman" w:hAnsi="Times New Roman"/>
          <w:b w:val="false"/>
          <w:i w:val="false"/>
          <w:color w:val="000000"/>
          <w:sz w:val="22"/>
        </w:rPr>
        <w:t xml:space="preserve">An eligible applicant must be located in Iowa, demonstrate the potential for high growth, and be an innovative business.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9846B</w:t>
      </w:r>
      <w:r>
        <w:rPr>
          <w:rFonts w:ascii="Times New Roman" w:hAnsi="Times New Roman"/>
          <w:b w:val="false"/>
          <w:i w:val="false"/>
          <w:color w:val="000000"/>
          <w:sz w:val="16"/>
        </w:rPr>
        <w:t>, IAB 11/16/11, effective 10/26/11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261—117.7</w:t>
      </w:r>
      <w:r>
        <w:rPr>
          <w:rFonts w:ascii="Times New Roman" w:hAnsi="Times New Roman"/>
          <w:b/>
          <w:i w:val="false"/>
          <w:color w:val="000000"/>
          <w:sz w:val="22"/>
        </w:rPr>
        <w:t xml:space="preserve">(84GA,HF590) </w:t>
      </w:r>
      <w:r>
        <w:rPr>
          <w:rFonts w:ascii="Times New Roman" w:hAnsi="Times New Roman"/>
          <w:b/>
          <w:i w:val="false"/>
          <w:color w:val="000000"/>
          <w:sz w:val="22"/>
        </w:rPr>
        <w:t xml:space="preserve">Ineligible applicants. </w:t>
      </w:r>
      <w:r>
        <w:rPr>
          <w:rFonts w:ascii="Times New Roman" w:hAnsi="Times New Roman"/>
          <w:b w:val="false"/>
          <w:i w:val="false"/>
          <w:color w:val="000000"/>
          <w:sz w:val="22"/>
        </w:rPr>
        <w:t>The following businesses are not eligible for financial assistance from the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117.7(1)</w:t>
      </w:r>
      <w:r>
        <w:rPr>
          <w:rFonts w:ascii="Times New Roman" w:hAnsi="Times New Roman"/>
          <w:b w:val="false"/>
          <w:i w:val="false"/>
          <w:color w:val="000000"/>
          <w:sz w:val="22"/>
        </w:rPr>
        <w:t> </w:t>
      </w:r>
      <w:r>
        <w:rPr>
          <w:rFonts w:ascii="Times New Roman" w:hAnsi="Times New Roman"/>
          <w:b w:val="false"/>
          <w:i w:val="false"/>
          <w:color w:val="000000"/>
          <w:sz w:val="22"/>
        </w:rPr>
        <w:t>A business which is engaged in retail sales or provides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117.7(2)</w:t>
      </w:r>
      <w:r>
        <w:rPr>
          <w:rFonts w:ascii="Times New Roman" w:hAnsi="Times New Roman"/>
          <w:b w:val="false"/>
          <w:i w:val="false"/>
          <w:color w:val="000000"/>
          <w:sz w:val="22"/>
        </w:rPr>
        <w:t> </w:t>
      </w:r>
      <w:r>
        <w:rPr>
          <w:rFonts w:ascii="Times New Roman" w:hAnsi="Times New Roman"/>
          <w:b w:val="false"/>
          <w:i w:val="false"/>
          <w:color w:val="000000"/>
          <w:sz w:val="22"/>
        </w:rPr>
        <w:t>A business which closes or substantially reduces its workforce by more than 20 percent at an existing operation in order to relocate substantially the same operation to another area of the state. Such a business is ineligible for financial assistance for 36 consecutive months at any of its Iowa sites from the date the new establishment opens.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117.7(3)</w:t>
      </w:r>
      <w:r>
        <w:rPr>
          <w:rFonts w:ascii="Times New Roman" w:hAnsi="Times New Roman"/>
          <w:b w:val="false"/>
          <w:i w:val="false"/>
          <w:color w:val="000000"/>
          <w:sz w:val="22"/>
        </w:rPr>
        <w:t> </w:t>
      </w:r>
      <w:r>
        <w:rPr>
          <w:rFonts w:ascii="Times New Roman" w:hAnsi="Times New Roman"/>
          <w:b w:val="false"/>
          <w:i w:val="false"/>
          <w:color w:val="000000"/>
          <w:sz w:val="22"/>
        </w:rPr>
        <w:t>A business that does not meet the requirements of the federal SSBCI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9846B</w:t>
      </w:r>
      <w:r>
        <w:rPr>
          <w:rFonts w:ascii="Times New Roman" w:hAnsi="Times New Roman"/>
          <w:b w:val="false"/>
          <w:i w:val="false"/>
          <w:color w:val="000000"/>
          <w:sz w:val="16"/>
        </w:rPr>
        <w:t>, IAB 11/16/11, effective 10/26/11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261—117.8</w:t>
      </w:r>
      <w:r>
        <w:rPr>
          <w:rFonts w:ascii="Times New Roman" w:hAnsi="Times New Roman"/>
          <w:b/>
          <w:i w:val="false"/>
          <w:color w:val="000000"/>
          <w:sz w:val="22"/>
        </w:rPr>
        <w:t xml:space="preserve">(84GA,HF590) </w:t>
      </w:r>
      <w:r>
        <w:rPr>
          <w:rFonts w:ascii="Times New Roman" w:hAnsi="Times New Roman"/>
          <w:b/>
          <w:i w:val="false"/>
          <w:color w:val="000000"/>
          <w:sz w:val="22"/>
        </w:rPr>
        <w:t xml:space="preserve">Application and 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117.8(1)</w:t>
      </w:r>
      <w:r>
        <w:rPr>
          <w:rFonts w:ascii="Times New Roman" w:hAnsi="Times New Roman"/>
          <w:b w:val="false"/>
          <w:i w:val="false"/>
          <w:color w:val="000000"/>
          <w:sz w:val="22"/>
        </w:rPr>
        <w:t> </w:t>
      </w:r>
      <w:r>
        <w:rPr>
          <w:rFonts w:ascii="Times New Roman" w:hAnsi="Times New Roman"/>
          <w:b w:val="false"/>
          <w:i w:val="false"/>
          <w:color w:val="000000"/>
          <w:sz w:val="22"/>
        </w:rPr>
        <w:t>An eligible business must submit an application for financial and technical assistance from the fund to the Iowa Economic Development Authority, 200 East Grand Avenue, Des Moines, Iowa 50309, on a form provided by the authority. Required forms and instructions are available at this address or in electronic form on the authority’s Web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117.8(2)</w:t>
      </w:r>
      <w:r>
        <w:rPr>
          <w:rFonts w:ascii="Times New Roman" w:hAnsi="Times New Roman"/>
          <w:b w:val="false"/>
          <w:i w:val="false"/>
          <w:color w:val="000000"/>
          <w:sz w:val="22"/>
        </w:rPr>
        <w:t> </w:t>
      </w:r>
      <w:r>
        <w:rPr>
          <w:rFonts w:ascii="Times New Roman" w:hAnsi="Times New Roman"/>
          <w:b w:val="false"/>
          <w:i w:val="false"/>
          <w:color w:val="000000"/>
          <w:sz w:val="22"/>
        </w:rPr>
        <w:t>To apply for financial assistance from the fund, a business shall submit an application to the authority on a form provided by the authority. The application will be reviewed by authority staff, the committee and the board. The committee will make a recommendation to the board about an application. The board has final decision-making authority on requests for financial assistance from the fund. The board may approve, defer or deny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117.8(3)</w:t>
      </w:r>
      <w:r>
        <w:rPr>
          <w:rFonts w:ascii="Times New Roman" w:hAnsi="Times New Roman"/>
          <w:b w:val="false"/>
          <w:i w:val="false"/>
          <w:color w:val="000000"/>
          <w:sz w:val="22"/>
        </w:rPr>
        <w:t> </w:t>
      </w:r>
      <w:r>
        <w:rPr>
          <w:rFonts w:ascii="Times New Roman" w:hAnsi="Times New Roman"/>
          <w:b w:val="false"/>
          <w:i w:val="false"/>
          <w:color w:val="000000"/>
          <w:sz w:val="22"/>
        </w:rPr>
        <w:t>The authority may contract with third-party service providers for assistance with the evaluation and review of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117.8(4)</w:t>
      </w:r>
      <w:r>
        <w:rPr>
          <w:rFonts w:ascii="Times New Roman" w:hAnsi="Times New Roman"/>
          <w:b w:val="false"/>
          <w:i w:val="false"/>
          <w:color w:val="000000"/>
          <w:sz w:val="22"/>
        </w:rPr>
        <w:t> </w:t>
      </w:r>
      <w:r>
        <w:rPr>
          <w:rFonts w:ascii="Times New Roman" w:hAnsi="Times New Roman"/>
          <w:b w:val="false"/>
          <w:i w:val="false"/>
          <w:color w:val="000000"/>
          <w:sz w:val="22"/>
        </w:rPr>
        <w:t>An application for assistance shall include all information required by the authority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Proposed product or service. A description of the proposed product or service, the experience of those involved in the proposed project, and the company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Market research. A market research analysis that addresses questions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What are the competing or alternative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What is the advantage of this new approach?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What are the distribution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What is the estimated return on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Commercialization. A description of the key next steps to making an impact with the innovation and a description of funding requirements necessary to overcome obstacles to success.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Work plan. A description of the strategy and key elements to be funded to address goals of the work plan, including project milestones.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Resources and budget. A budget that includes a detailed description of the sources, including the required match, and uses of the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9846B</w:t>
      </w:r>
      <w:r>
        <w:rPr>
          <w:rFonts w:ascii="Times New Roman" w:hAnsi="Times New Roman"/>
          <w:b w:val="false"/>
          <w:i w:val="false"/>
          <w:color w:val="000000"/>
          <w:sz w:val="16"/>
        </w:rPr>
        <w:t>, IAB 11/16/11, effective 10/26/11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261—117.9</w:t>
      </w:r>
      <w:r>
        <w:rPr>
          <w:rFonts w:ascii="Times New Roman" w:hAnsi="Times New Roman"/>
          <w:b/>
          <w:i w:val="false"/>
          <w:color w:val="000000"/>
          <w:sz w:val="22"/>
        </w:rPr>
        <w:t xml:space="preserve">(84GA,HF590) </w:t>
      </w:r>
      <w:r>
        <w:rPr>
          <w:rFonts w:ascii="Times New Roman" w:hAnsi="Times New Roman"/>
          <w:b/>
          <w:i w:val="false"/>
          <w:color w:val="000000"/>
          <w:sz w:val="22"/>
        </w:rPr>
        <w:t xml:space="preserve">Application selection criteria. </w:t>
      </w:r>
      <w:r>
        <w:rPr>
          <w:rFonts w:ascii="Times New Roman" w:hAnsi="Times New Roman"/>
          <w:b w:val="false"/>
          <w:i w:val="false"/>
          <w:color w:val="000000"/>
          <w:sz w:val="22"/>
        </w:rPr>
        <w:t>In reviewing applications for financial assistance, the committee and the board shall consider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117.9(1)</w:t>
      </w:r>
      <w:r>
        <w:rPr>
          <w:rFonts w:ascii="Times New Roman" w:hAnsi="Times New Roman"/>
          <w:b w:val="false"/>
          <w:i w:val="false"/>
          <w:color w:val="000000"/>
          <w:sz w:val="22"/>
        </w:rPr>
        <w:t> </w:t>
      </w:r>
      <w:r>
        <w:rPr>
          <w:rFonts w:ascii="Times New Roman" w:hAnsi="Times New Roman"/>
          <w:b w:val="false"/>
          <w:i w:val="false"/>
          <w:color w:val="000000"/>
          <w:sz w:val="22"/>
        </w:rPr>
        <w:t>Intellectual property, and how the ownership of the IP is structured. More points will be awarded for greater IP control by the business, with the greatest number of points being awarded for exclusive IP ownership by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117.9(2)</w:t>
      </w:r>
      <w:r>
        <w:rPr>
          <w:rFonts w:ascii="Times New Roman" w:hAnsi="Times New Roman"/>
          <w:b w:val="false"/>
          <w:i w:val="false"/>
          <w:color w:val="000000"/>
          <w:sz w:val="22"/>
        </w:rPr>
        <w:t> </w:t>
      </w:r>
      <w:r>
        <w:rPr>
          <w:rFonts w:ascii="Times New Roman" w:hAnsi="Times New Roman"/>
          <w:b w:val="false"/>
          <w:i w:val="false"/>
          <w:color w:val="000000"/>
          <w:sz w:val="22"/>
        </w:rPr>
        <w:t>Experience. The business’s experience in productization and commercialization, and ongoing product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117.9(3)</w:t>
      </w:r>
      <w:r>
        <w:rPr>
          <w:rFonts w:ascii="Times New Roman" w:hAnsi="Times New Roman"/>
          <w:b w:val="false"/>
          <w:i w:val="false"/>
          <w:color w:val="000000"/>
          <w:sz w:val="22"/>
        </w:rPr>
        <w:t> </w:t>
      </w:r>
      <w:r>
        <w:rPr>
          <w:rFonts w:ascii="Times New Roman" w:hAnsi="Times New Roman"/>
          <w:b w:val="false"/>
          <w:i w:val="false"/>
          <w:color w:val="000000"/>
          <w:sz w:val="22"/>
        </w:rPr>
        <w:t>Estimate to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What are the work requirements; how quickly will the work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How credible is this estimate relative to the business’s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Does the business have the resources to fulfill these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117.9(4)</w:t>
      </w:r>
      <w:r>
        <w:rPr>
          <w:rFonts w:ascii="Times New Roman" w:hAnsi="Times New Roman"/>
          <w:b w:val="false"/>
          <w:i w:val="false"/>
          <w:color w:val="000000"/>
          <w:sz w:val="22"/>
        </w:rPr>
        <w:t> </w:t>
      </w:r>
      <w:r>
        <w:rPr>
          <w:rFonts w:ascii="Times New Roman" w:hAnsi="Times New Roman"/>
          <w:b w:val="false"/>
          <w:i w:val="false"/>
          <w:color w:val="000000"/>
          <w:sz w:val="22"/>
        </w:rPr>
        <w:t>Market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there a competitor?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How large is the market outside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How credible is the marketing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Does the business have experience in this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 there an industry in Iowa that would be a natural client/market?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117.9(5)</w:t>
      </w:r>
      <w:r>
        <w:rPr>
          <w:rFonts w:ascii="Times New Roman" w:hAnsi="Times New Roman"/>
          <w:b w:val="false"/>
          <w:i w:val="false"/>
          <w:color w:val="000000"/>
          <w:sz w:val="22"/>
        </w:rPr>
        <w:t> </w:t>
      </w:r>
      <w:r>
        <w:rPr>
          <w:rFonts w:ascii="Times New Roman" w:hAnsi="Times New Roman"/>
          <w:b w:val="false"/>
          <w:i w:val="false"/>
          <w:color w:val="000000"/>
          <w:sz w:val="22"/>
        </w:rPr>
        <w:t>Financial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the matching and necessary funds been secured?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the amount of funds available sufficient to take the product to market?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117.9(6)</w:t>
      </w:r>
      <w:r>
        <w:rPr>
          <w:rFonts w:ascii="Times New Roman" w:hAnsi="Times New Roman"/>
          <w:b w:val="false"/>
          <w:i w:val="false"/>
          <w:color w:val="000000"/>
          <w:sz w:val="22"/>
        </w:rPr>
        <w:t> </w:t>
      </w:r>
      <w:r>
        <w:rPr>
          <w:rFonts w:ascii="Times New Roman" w:hAnsi="Times New Roman"/>
          <w:b w:val="false"/>
          <w:i w:val="false"/>
          <w:color w:val="000000"/>
          <w:sz w:val="22"/>
        </w:rPr>
        <w:t>Distribution. Do the channels already exist to take the product to market?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117.9(7)</w:t>
      </w:r>
      <w:r>
        <w:rPr>
          <w:rFonts w:ascii="Times New Roman" w:hAnsi="Times New Roman"/>
          <w:b w:val="false"/>
          <w:i w:val="false"/>
          <w:color w:val="000000"/>
          <w:sz w:val="22"/>
        </w:rPr>
        <w:t> </w:t>
      </w:r>
      <w:r>
        <w:rPr>
          <w:rFonts w:ascii="Times New Roman" w:hAnsi="Times New Roman"/>
          <w:b w:val="false"/>
          <w:i w:val="false"/>
          <w:color w:val="000000"/>
          <w:sz w:val="22"/>
        </w:rPr>
        <w:t>Expected return. Is the expected return quantified based on time to break even and long-term economic impact?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9846B</w:t>
      </w:r>
      <w:r>
        <w:rPr>
          <w:rFonts w:ascii="Times New Roman" w:hAnsi="Times New Roman"/>
          <w:b w:val="false"/>
          <w:i w:val="false"/>
          <w:color w:val="000000"/>
          <w:sz w:val="16"/>
        </w:rPr>
        <w:t>, IAB 11/16/11, effective 10/26/11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261—117.10</w:t>
      </w:r>
      <w:r>
        <w:rPr>
          <w:rFonts w:ascii="Times New Roman" w:hAnsi="Times New Roman"/>
          <w:b/>
          <w:i w:val="false"/>
          <w:color w:val="000000"/>
          <w:sz w:val="22"/>
        </w:rPr>
        <w:t xml:space="preserve">(84GA,HF590) </w:t>
      </w:r>
      <w:r>
        <w:rPr>
          <w:rFonts w:ascii="Times New Roman" w:hAnsi="Times New Roman"/>
          <w:b/>
          <w:i w:val="false"/>
          <w:color w:val="000000"/>
          <w:sz w:val="22"/>
        </w:rPr>
        <w:t xml:space="preserve">Contract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117.10(1)</w:t>
      </w:r>
      <w:r>
        <w:rPr>
          <w:rFonts w:ascii="Times New Roman" w:hAnsi="Times New Roman"/>
          <w:b w:val="false"/>
          <w:i w:val="false"/>
          <w:color w:val="000000"/>
          <w:sz w:val="22"/>
        </w:rPr>
        <w:t> </w:t>
      </w:r>
      <w:r>
        <w:rPr>
          <w:rFonts w:ascii="Times New Roman" w:hAnsi="Times New Roman"/>
          <w:b w:val="false"/>
          <w:i/>
          <w:color w:val="000000"/>
          <w:sz w:val="22"/>
        </w:rPr>
        <w:t xml:space="preserve">Notice of award. </w:t>
      </w:r>
      <w:r>
        <w:rPr>
          <w:rFonts w:ascii="Times New Roman" w:hAnsi="Times New Roman"/>
          <w:b w:val="false"/>
          <w:i w:val="false"/>
          <w:color w:val="000000"/>
          <w:sz w:val="22"/>
        </w:rPr>
        <w:t>Successful applicants will be notified in writing of an award of assistance, including any conditions and terms of the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117.10(2)</w:t>
      </w:r>
      <w:r>
        <w:rPr>
          <w:rFonts w:ascii="Times New Roman" w:hAnsi="Times New Roman"/>
          <w:b w:val="false"/>
          <w:i w:val="false"/>
          <w:color w:val="000000"/>
          <w:sz w:val="22"/>
        </w:rPr>
        <w:t> </w:t>
      </w:r>
      <w:r>
        <w:rPr>
          <w:rFonts w:ascii="Times New Roman" w:hAnsi="Times New Roman"/>
          <w:b w:val="false"/>
          <w:i/>
          <w:color w:val="000000"/>
          <w:sz w:val="22"/>
        </w:rPr>
        <w:t xml:space="preserve">Contract required. </w:t>
      </w:r>
      <w:r>
        <w:rPr>
          <w:rFonts w:ascii="Times New Roman" w:hAnsi="Times New Roman"/>
          <w:b w:val="false"/>
          <w:i w:val="false"/>
          <w:color w:val="000000"/>
          <w:sz w:val="22"/>
        </w:rPr>
        <w:t>The authority shall prepare a contract, which includes, but is not limited to, a description of the project to be completed by the business, conditions to disbursement, required reports, the repayment requirements imposed on the business, the procedures and remedies available if there is an event of default under the contract, and any other specific repayment provisions (“clawback” provisions) to be established on a project-by-project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117.10(3)</w:t>
      </w:r>
      <w:r>
        <w:rPr>
          <w:rFonts w:ascii="Times New Roman" w:hAnsi="Times New Roman"/>
          <w:b w:val="false"/>
          <w:i w:val="false"/>
          <w:color w:val="000000"/>
          <w:sz w:val="22"/>
        </w:rPr>
        <w:t> </w:t>
      </w:r>
      <w:r>
        <w:rPr>
          <w:rFonts w:ascii="Times New Roman" w:hAnsi="Times New Roman"/>
          <w:b w:val="false"/>
          <w:i/>
          <w:color w:val="000000"/>
          <w:sz w:val="22"/>
        </w:rPr>
        <w:t xml:space="preserve">SSBCI requirements. </w:t>
      </w:r>
      <w:r>
        <w:rPr>
          <w:rFonts w:ascii="Times New Roman" w:hAnsi="Times New Roman"/>
          <w:b w:val="false"/>
          <w:i w:val="false"/>
          <w:color w:val="000000"/>
          <w:sz w:val="22"/>
        </w:rPr>
        <w:t xml:space="preserve">The contract required pursuant to subrule </w:t>
      </w:r>
      <w:hyperlink r:id="rId8">
        <w:r>
          <w:rPr>
            <w:rStyle w:val="Hyperlink"/>
            <w:rFonts w:ascii="Times New Roman" w:hAnsi="Times New Roman"/>
            <w:b w:val="false"/>
            <w:i w:val="false"/>
            <w:color w:val="000000"/>
            <w:sz w:val="22"/>
          </w:rPr>
          <w:t>117.10(2)</w:t>
        </w:r>
      </w:hyperlink>
      <w:r>
        <w:rPr>
          <w:rFonts w:ascii="Times New Roman" w:hAnsi="Times New Roman"/>
          <w:b w:val="false"/>
          <w:i w:val="false"/>
          <w:color w:val="000000"/>
          <w:sz w:val="22"/>
        </w:rPr>
        <w:t xml:space="preserve"> shall include any and all provisions necessary for compliance with federal SSBCI program requirements. An applicant shall submit any and all information required by the authority in sufficient detail to permit the authority to prepare the reports required under the federal SSBCI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9846B</w:t>
      </w:r>
      <w:r>
        <w:rPr>
          <w:rFonts w:ascii="Times New Roman" w:hAnsi="Times New Roman"/>
          <w:b w:val="false"/>
          <w:i w:val="false"/>
          <w:color w:val="000000"/>
          <w:sz w:val="16"/>
        </w:rPr>
        <w:t>, IAB 11/16/11, effective 10/26/11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2011 Iowa Acts, House File 590</w:t>
      </w:r>
      <w:r>
        <w:rPr>
          <w:rFonts w:ascii="Times New Roman" w:hAnsi="Times New Roman"/>
          <w:b w:val="false"/>
          <w:i w:val="false"/>
          <w:color w:val="000000"/>
          <w:sz w:val="22"/>
        </w:rPr>
        <w:t xml:space="preserve">, section 5, subsection 1, and </w:t>
      </w:r>
      <w:r>
        <w:rPr>
          <w:rFonts w:ascii="Times New Roman" w:hAnsi="Times New Roman"/>
          <w:b w:val="false"/>
          <w:i w:val="false"/>
          <w:color w:val="000000"/>
          <w:sz w:val="22"/>
        </w:rPr>
        <w:t>2011 Iowa Acts, House File 590</w:t>
      </w:r>
      <w:r>
        <w:rPr>
          <w:rFonts w:ascii="Times New Roman" w:hAnsi="Times New Roman"/>
          <w:b w:val="false"/>
          <w:i w:val="false"/>
          <w:color w:val="000000"/>
          <w:sz w:val="22"/>
        </w:rPr>
        <w:t>, section 7.</w:t>
      </w:r>
    </w:p>
    <w:p>
      <w:pPr>
        <w:spacing w:before="0" w:after="0"/>
        <w:ind w:left="120"/>
        <w:jc w:val="center"/>
      </w:pPr>
      <w:r>
        <w:rPr>
          <w:rFonts w:ascii="Times New Roman" w:hAnsi="Times New Roman"/>
          <w:b w:val="false"/>
          <w:i w:val="false"/>
          <w:color w:val="000000"/>
          <w:sz w:val="21"/>
        </w:rPr>
        <w:t>[Filed Emergency ARC 9846B, IAB 11/16/11, effective 10/26/11]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61.117.2.pdf" Type="http://schemas.openxmlformats.org/officeDocument/2006/relationships/hyperlink" Id="rId5"/>
    <Relationship TargetMode="External" Target="https://www.legis.iowa.gov/docs/ico/chapter/15.pdf" Type="http://schemas.openxmlformats.org/officeDocument/2006/relationships/hyperlink" Id="rId6"/>
    <Relationship TargetMode="External" Target="https://www.legis.iowa.gov/docs/iac/rule/261.117.2.pdf" Type="http://schemas.openxmlformats.org/officeDocument/2006/relationships/hyperlink" Id="rId7"/>
    <Relationship TargetMode="External" Target="https://www.legis.iowa.gov/docs/iac/rule/261.117.10.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