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 xml:space="preserve">SMALL BUSINESS INNOVATION RESEARCH AND TECHNOLOGY </w:t>
      </w:r>
      <w:r>
        <w:br/>
      </w:r>
      <w:r>
        <w:rPr>
          <w:rFonts w:ascii="Times New Roman" w:hAnsi="Times New Roman"/>
          <w:b w:val="false"/>
          <w:i w:val="false"/>
          <w:color w:val="000000"/>
          <w:sz w:val="21"/>
        </w:rPr>
        <w:t>TRANSFER OUTREACH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261—106.1</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adopting rules establishing the small business innovation research and technology transfer outreach program under this chapter is provided in Iowa Code section </w:t>
      </w:r>
      <w:hyperlink r:id="rId5">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6356C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261—106.2</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and goals.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106.2(1)</w:t>
      </w:r>
      <w:r>
        <w:rPr>
          <w:rFonts w:ascii="Times New Roman" w:hAnsi="Times New Roman"/>
          <w:b w:val="false"/>
          <w:i w:val="false"/>
          <w:color w:val="000000"/>
          <w:sz w:val="22"/>
        </w:rPr>
        <w:t> </w:t>
      </w:r>
      <w:r>
        <w:rPr>
          <w:rFonts w:ascii="Times New Roman" w:hAnsi="Times New Roman"/>
          <w:b w:val="false"/>
          <w:i w:val="false"/>
          <w:color w:val="000000"/>
          <w:sz w:val="22"/>
        </w:rPr>
        <w:t>The purpose of the small business innovation research and technology transfer outreach program is to assist businesses with applications to the federal Small Business Innovation Research and Small Business Technology Transfer Programs. The program will provide financial and technical assistance to businesses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w:t>
      </w:r>
      <w:r>
        <w:rPr>
          <w:rFonts w:ascii="Times New Roman" w:hAnsi="Times New Roman"/>
          <w:b w:val="false"/>
          <w:i w:val="false"/>
          <w:color w:val="000000"/>
          <w:sz w:val="22"/>
        </w:rPr>
        <w:t> </w:t>
      </w:r>
      <w:r>
        <w:rPr>
          <w:rFonts w:ascii="Times New Roman" w:hAnsi="Times New Roman"/>
          <w:b w:val="false"/>
          <w:i w:val="false"/>
          <w:color w:val="000000"/>
          <w:sz w:val="22"/>
        </w:rPr>
        <w:t>The goals of providing this assistance are to increase the number of successful grant and contract proposals in the state, increase the amount of funds awarded in the state, stimulate subsequent investment by industry, venture capital, and other sources, and encourage businesses to commercialize promising technologies.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3195C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261—106.3</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business applying to the authority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means technical and financial assistance available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means SBIR/STTR grant and contract funds awarded by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technology commercialization committee established by the board pursuant to </w:t>
      </w:r>
      <w:hyperlink r:id="rId8">
        <w:r>
          <w:rPr>
            <w:rStyle w:val="Hyperlink"/>
            <w:rFonts w:ascii="Times New Roman" w:hAnsi="Times New Roman"/>
            <w:b w:val="false"/>
            <w:i w:val="false"/>
            <w:color w:val="000000"/>
            <w:sz w:val="22"/>
          </w:rPr>
          <w:t>261—Chapter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“Corporation” </w:t>
      </w:r>
      <w:r>
        <w:rPr>
          <w:rFonts w:ascii="Times New Roman" w:hAnsi="Times New Roman"/>
          <w:b w:val="false"/>
          <w:i w:val="false"/>
          <w:color w:val="000000"/>
          <w:sz w:val="22"/>
        </w:rPr>
        <w:t xml:space="preserve">means the bioscience development corporation established pursuant to Iowa Code section </w:t>
      </w:r>
      <w:hyperlink r:id="rId9">
        <w:r>
          <w:rPr>
            <w:rStyle w:val="Hyperlink"/>
            <w:rFonts w:ascii="Times New Roman" w:hAnsi="Times New Roman"/>
            <w:b w:val="false"/>
            <w:i w:val="false"/>
            <w:color w:val="000000"/>
            <w:sz w:val="22"/>
          </w:rPr>
          <w:t>15.107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grants, loans, forgivable loans, and royalty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business”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15E.52(1)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small business innovation research and technology transfer outreach program established pursuant to Iowa Code section </w:t>
      </w:r>
      <w:hyperlink r:id="rId11">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“SBIR/STTR” </w:t>
      </w:r>
      <w:r>
        <w:rPr>
          <w:rFonts w:ascii="Times New Roman" w:hAnsi="Times New Roman"/>
          <w:b w:val="false"/>
          <w:i w:val="false"/>
          <w:color w:val="000000"/>
          <w:sz w:val="22"/>
        </w:rPr>
        <w:t>means the federal Small Business Innovation Research and Small Business Technology Transfer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3195C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6356C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application procedures, and delegation of functions.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color w:val="000000"/>
          <w:sz w:val="22"/>
        </w:rPr>
        <w:t xml:space="preserve">General description. </w:t>
      </w:r>
      <w:r>
        <w:rPr>
          <w:rFonts w:ascii="Times New Roman" w:hAnsi="Times New Roman"/>
          <w:b w:val="false"/>
          <w:i w:val="false"/>
          <w:color w:val="000000"/>
          <w:sz w:val="22"/>
        </w:rPr>
        <w:t>The program provides technical assistance and financial assistance to applicants seeking SBIR/STTR funding. All awards of financial assistance must ultimately be approved by the board, after a recommendation by the committee, and an agreement must be entered into with the authority before moneys will be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color w:val="000000"/>
          <w:sz w:val="22"/>
        </w:rPr>
        <w:t xml:space="preserve">Program components and activities. </w:t>
      </w:r>
      <w:r>
        <w:rPr>
          <w:rFonts w:ascii="Times New Roman" w:hAnsi="Times New Roman"/>
          <w:b w:val="false"/>
          <w:i w:val="false"/>
          <w:color w:val="000000"/>
          <w:sz w:val="22"/>
        </w:rPr>
        <w:t>The program has two primary components, a technical assistance component and a financial assistance component, both of which are intended to increase the number of phase I, phase II, and fast track SBIR/STTR awards for Iowa businesses. The corporation shall be the primary provider of technical assistance to applicants and shall also work with the authority to provide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providing technical assistance, the corporation shall develop a pre-proposal submission component that facilitates expert peer reviews from commercial reviewers with in-depth market knowledge. The resulting reviews should provide the applicant with a set of recommendations and tips for troubleshooting SBIR/STTR proposals. The corporation shall ensure that the applicants develop and implement recommendations for their proposals based on industry best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corporation shall provide services that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outlines and other tools to make the drafting of a proposal and other accompanying documentation less daunting.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Reviews and critiques of iterative drafts to improve the structure and narrative of both the research and the commercialization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of budgets and budget justifications to produce stronger applications and avoid “leaving money on the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the electronic registrations and the application submission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working with the authority to provide financial assistance, the corporation shall perform the functions delegated pursuant to </w:t>
      </w:r>
      <w:hyperlink r:id="rId12">
        <w:r>
          <w:rPr>
            <w:rStyle w:val="Hyperlink"/>
            <w:rFonts w:ascii="Times New Roman" w:hAnsi="Times New Roman"/>
            <w:b w:val="false"/>
            <w:i w:val="false"/>
            <w:color w:val="000000"/>
            <w:sz w:val="22"/>
          </w:rPr>
          <w:t>subrule 106.4(4)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award procedures. </w:t>
      </w:r>
      <w:r>
        <w:rPr>
          <w:rFonts w:ascii="Times New Roman" w:hAnsi="Times New Roman"/>
          <w:b w:val="false"/>
          <w:i w:val="false"/>
          <w:color w:val="000000"/>
          <w:sz w:val="22"/>
        </w:rPr>
        <w:t xml:space="preserve">Eligible applicants may submit applications to the authority for financial assistance. To be eligible, an applicant must meet the requirements in rule </w:t>
      </w:r>
      <w:hyperlink r:id="rId13">
        <w:r>
          <w:rPr>
            <w:rStyle w:val="Hyperlink"/>
            <w:rFonts w:ascii="Times New Roman" w:hAnsi="Times New Roman"/>
            <w:b w:val="false"/>
            <w:i w:val="false"/>
            <w:color w:val="000000"/>
            <w:sz w:val="22"/>
          </w:rPr>
          <w:t>261—106.6</w:t>
        </w:r>
      </w:hyperlink>
      <w:r>
        <w:rPr>
          <w:rFonts w:ascii="Times New Roman" w:hAnsi="Times New Roman"/>
          <w:b w:val="false"/>
          <w:i w:val="false"/>
          <w:color w:val="000000"/>
          <w:sz w:val="22"/>
        </w:rPr>
        <w:t>(15). The applications will receive an initial review to confirm program eligibility before being sent to the committee for a recommendation on funding. The committee will provide its recommendation to the board for a final determination on the provision of financial assistance. The board may approve, deny, or defer each application for financial assistance under the program. The board will consider applications for financial assistance on a first-come, first-served basis. If the board approves funding for an applicant, the authority will prepare a required agreement specifying the terms and conditions under which the financial assistance is to be provided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106.4(4)</w:t>
      </w:r>
      <w:r>
        <w:rPr>
          <w:rFonts w:ascii="Times New Roman" w:hAnsi="Times New Roman"/>
          <w:b w:val="false"/>
          <w:i w:val="false"/>
          <w:color w:val="000000"/>
          <w:sz w:val="22"/>
        </w:rPr>
        <w:t> </w:t>
      </w:r>
      <w:r>
        <w:rPr>
          <w:rFonts w:ascii="Times New Roman" w:hAnsi="Times New Roman"/>
          <w:b w:val="false"/>
          <w:i/>
          <w:color w:val="000000"/>
          <w:sz w:val="22"/>
        </w:rPr>
        <w:t xml:space="preserve">Delegation of certain administrative functions to the corporation. </w:t>
      </w:r>
      <w:r>
        <w:rPr>
          <w:rFonts w:ascii="Times New Roman" w:hAnsi="Times New Roman"/>
          <w:b w:val="false"/>
          <w:i w:val="false"/>
          <w:color w:val="000000"/>
          <w:sz w:val="22"/>
        </w:rPr>
        <w:t>The authority will delegate certain administrative functions of the program to the corporation. The functions that will be delegated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application review process, including an analysis of whether the applicant meets all requirements of eligibility under the program and a recommendation on the amount of financial assistance to be provided and under what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tracking and monitoring of the applicant’s SBIR/STTR application progress as well as the eventual outcome. The corporation shall report annually to the authority on the results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tracking and monitoring of agreement terms and conditions for applicants receiving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 of technical assistance as described in subrule </w:t>
      </w:r>
      <w:hyperlink r:id="rId14">
        <w:r>
          <w:rPr>
            <w:rStyle w:val="Hyperlink"/>
            <w:rFonts w:ascii="Times New Roman" w:hAnsi="Times New Roman"/>
            <w:b w:val="false"/>
            <w:i w:val="false"/>
            <w:color w:val="000000"/>
            <w:sz w:val="22"/>
          </w:rPr>
          <w:t>106.4(2)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functions not delegated. </w:t>
      </w:r>
      <w:r>
        <w:rPr>
          <w:rFonts w:ascii="Times New Roman" w:hAnsi="Times New Roman"/>
          <w:b w:val="false"/>
          <w:i w:val="false"/>
          <w:color w:val="000000"/>
          <w:sz w:val="22"/>
        </w:rPr>
        <w:t xml:space="preserve">The authority will retain, and not delegate, the performance of the following functions: (1) the final determination as to whether to approve, deny, or defer an award of financial assistance; (2) the disbursal of moneys provided for in an award of financial assistance; (3) the final determination as to whether there is a default in the terms of an agreement entered into under the program, including all decisions regarding appropriate remedies for such a default; and (4) any other function not clearly delegated to the corporation pursuant to </w:t>
      </w:r>
      <w:hyperlink r:id="rId15">
        <w:r>
          <w:rPr>
            <w:rStyle w:val="Hyperlink"/>
            <w:rFonts w:ascii="Times New Roman" w:hAnsi="Times New Roman"/>
            <w:b w:val="false"/>
            <w:i w:val="false"/>
            <w:color w:val="000000"/>
            <w:sz w:val="22"/>
          </w:rPr>
          <w:t>subrule 106.4(4)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3195C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261—106.5</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106.5(1)</w:t>
      </w:r>
      <w:r>
        <w:rPr>
          <w:rFonts w:ascii="Times New Roman" w:hAnsi="Times New Roman"/>
          <w:b w:val="false"/>
          <w:i w:val="false"/>
          <w:color w:val="000000"/>
          <w:sz w:val="22"/>
        </w:rPr>
        <w:t> </w:t>
      </w:r>
      <w:r>
        <w:rPr>
          <w:rFonts w:ascii="Times New Roman" w:hAnsi="Times New Roman"/>
          <w:b w:val="false"/>
          <w:i/>
          <w:color w:val="000000"/>
          <w:sz w:val="22"/>
        </w:rPr>
        <w:t xml:space="preserve">Program funding limitation. </w:t>
      </w:r>
      <w:r>
        <w:rPr>
          <w:rFonts w:ascii="Times New Roman" w:hAnsi="Times New Roman"/>
          <w:b w:val="false"/>
          <w:i w:val="false"/>
          <w:color w:val="000000"/>
          <w:sz w:val="22"/>
        </w:rPr>
        <w:t xml:space="preserve">Each year, the authority allocates moneys for purposes of the programs listed in Iowa Code section </w:t>
      </w:r>
      <w:hyperlink r:id="rId16">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 including this program. The amount allocated each year will depend on the amount appropriated to the authority by the general assembly. The authority may allocate other funds to the program as such funds may from time to time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106.5(2)</w:t>
      </w:r>
      <w:r>
        <w:rPr>
          <w:rFonts w:ascii="Times New Roman" w:hAnsi="Times New Roman"/>
          <w:b w:val="false"/>
          <w:i w:val="false"/>
          <w:color w:val="000000"/>
          <w:sz w:val="22"/>
        </w:rPr>
        <w:t> </w:t>
      </w:r>
      <w:r>
        <w:rPr>
          <w:rFonts w:ascii="Times New Roman" w:hAnsi="Times New Roman"/>
          <w:b w:val="false"/>
          <w:i/>
          <w:color w:val="000000"/>
          <w:sz w:val="22"/>
        </w:rPr>
        <w:t xml:space="preserve">Individual applicant limitation. </w:t>
      </w:r>
      <w:r>
        <w:rPr>
          <w:rFonts w:ascii="Times New Roman" w:hAnsi="Times New Roman"/>
          <w:b w:val="false"/>
          <w:i w:val="false"/>
          <w:color w:val="000000"/>
          <w:sz w:val="22"/>
        </w:rPr>
        <w:t xml:space="preserve">The authority will not award more than $100,000 in financial assistance to any applicant for any individual federal SBIR/STTR award.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3195C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261—106.6</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In order to be eligible for financial or technical assistance under the program, an applicant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106.6(1)</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an innovative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a reasonable likelihood of receiving SBIR/STTR grant funds, must be likely to stimulate subsequent investment by industry, venture capital, and other sources, and must be likely to commercialize some promising technology.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3195C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261—106.7</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and report 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106.7(1)</w:t>
      </w:r>
      <w:r>
        <w:rPr>
          <w:rFonts w:ascii="Times New Roman" w:hAnsi="Times New Roman"/>
          <w:b w:val="false"/>
          <w:i w:val="false"/>
          <w:color w:val="000000"/>
          <w:sz w:val="22"/>
        </w:rPr>
        <w:t> </w:t>
      </w:r>
      <w:r>
        <w:rPr>
          <w:rFonts w:ascii="Times New Roman" w:hAnsi="Times New Roman"/>
          <w:b w:val="false"/>
          <w:i/>
          <w:color w:val="000000"/>
          <w:sz w:val="22"/>
        </w:rPr>
        <w:t xml:space="preserve"> Agreement required. </w:t>
      </w:r>
      <w:r>
        <w:rPr>
          <w:rFonts w:ascii="Times New Roman" w:hAnsi="Times New Roman"/>
          <w:b w:val="false"/>
          <w:i w:val="false"/>
          <w:color w:val="000000"/>
          <w:sz w:val="22"/>
        </w:rPr>
        <w:t>An applicant awarded financial assistance under the program shall enter into an agreement with the authority for the receipt of such funds. The authority will include in the agreement all terms and conditions for receipt of the funds, including any terms recommended by the corporation. The tracking and monitoring of the agreement terms will be delegated to the corporation. The corporation shall provide regular reports to the authority on the progress of the applicant and on the results of the tracking and monitoring. The authority will make the final determination as to compliance with the terms of the agreement and as to whether and when to disburse funds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106.7(2)</w:t>
      </w:r>
      <w:r>
        <w:rPr>
          <w:rFonts w:ascii="Times New Roman" w:hAnsi="Times New Roman"/>
          <w:b w:val="false"/>
          <w:i w:val="false"/>
          <w:color w:val="000000"/>
          <w:sz w:val="22"/>
        </w:rPr>
        <w:t> </w:t>
      </w:r>
      <w:r>
        <w:rPr>
          <w:rFonts w:ascii="Times New Roman" w:hAnsi="Times New Roman"/>
          <w:b w:val="false"/>
          <w:i/>
          <w:color w:val="000000"/>
          <w:sz w:val="22"/>
        </w:rPr>
        <w:t xml:space="preserve">Reporting information required. </w:t>
      </w:r>
      <w:r>
        <w:rPr>
          <w:rFonts w:ascii="Times New Roman" w:hAnsi="Times New Roman"/>
          <w:b w:val="false"/>
          <w:i w:val="false"/>
          <w:color w:val="000000"/>
          <w:sz w:val="22"/>
        </w:rPr>
        <w:t>An applicant may be required to submit all information necessary for the authority to compile a report on the results of the program. The authority will include terms in the required agreement effectuating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0611C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3195C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15.411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3195C</w:t>
      </w:r>
      <w:r>
        <w:rPr>
          <w:rFonts w:ascii="Times New Roman" w:hAnsi="Times New Roman"/>
          <w:b w:val="false"/>
          <w:i w:val="false"/>
          <w:color w:val="000000"/>
          <w:sz w:val="21"/>
        </w:rPr>
        <w:t xml:space="preserve"> (Notice ARC 2938C, IAB 2/15/17)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6356C</w:t>
      </w:r>
      <w:r>
        <w:rPr>
          <w:rFonts w:ascii="Times New Roman" w:hAnsi="Times New Roman"/>
          <w:b w:val="false"/>
          <w:i w:val="false"/>
          <w:color w:val="000000"/>
          <w:sz w:val="21"/>
        </w:rPr>
        <w:t xml:space="preserve"> (Notice ARC 6243C, IAB 3/23/22)</w:t>
      </w:r>
      <w:r>
        <w:rPr>
          <w:rFonts w:ascii="Times New Roman" w:hAnsi="Times New Roman"/>
          <w:b w:val="false"/>
          <w:i w:val="false"/>
          <w:color w:val="000000"/>
          <w:sz w:val="21"/>
        </w:rPr>
        <w:t>, IAB 6/15/22, effective 7/20/22]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11.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ac/chapter/261.1.pdf" Type="http://schemas.openxmlformats.org/officeDocument/2006/relationships/hyperlink" Id="rId8"/>
    <Relationship TargetMode="External" Target="https://www.legis.iowa.gov/docs/ico/chapter/15.107.pdf" Type="http://schemas.openxmlformats.org/officeDocument/2006/relationships/hyperlink" Id="rId9"/>
    <Relationship TargetMode="External" Target="https://www.legis.iowa.gov/docs/ico/chapter/15E.52.pdf" Type="http://schemas.openxmlformats.org/officeDocument/2006/relationships/hyperlink" Id="rId10"/>
    <Relationship TargetMode="External" Target="https://www.legis.iowa.gov/docs/ico/chapter/15.411.pdf" Type="http://schemas.openxmlformats.org/officeDocument/2006/relationships/hyperlink" Id="rId11"/>
    <Relationship TargetMode="External" Target="https://www.legis.iowa.gov/docs/iac/rule/261.106.4.pdf" Type="http://schemas.openxmlformats.org/officeDocument/2006/relationships/hyperlink" Id="rId12"/>
    <Relationship TargetMode="External" Target="https://www.legis.iowa.gov/docs/iac/rule/261.106.6.pdf" Type="http://schemas.openxmlformats.org/officeDocument/2006/relationships/hyperlink" Id="rId13"/>
    <Relationship TargetMode="External" Target="https://www.legis.iowa.gov/docs/iac/rule/261.106.4.pdf" Type="http://schemas.openxmlformats.org/officeDocument/2006/relationships/hyperlink" Id="rId14"/>
    <Relationship TargetMode="External" Target="https://www.legis.iowa.gov/docs/iac/rule/261.106.4.pdf" Type="http://schemas.openxmlformats.org/officeDocument/2006/relationships/hyperlink" Id="rId15"/>
    <Relationship TargetMode="External" Target="https://www.legis.iowa.gov/docs/ico/chapter/15.411.pdf" Type="http://schemas.openxmlformats.org/officeDocument/2006/relationships/hyperlink" Id="rId16"/>
    <Relationship TargetMode="External" Target="https://www.legis.iowa.gov/docs/ico/chapter/15.411.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