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WAIVERS</w:t>
      </w:r>
    </w:p>
    <w:p>
      <w:pPr>
        <w:spacing w:before="0" w:after="0"/>
        <w:ind w:left="120"/>
        <w:jc w:val="center"/>
      </w:pPr>
      <w:r>
        <w:rPr>
          <w:rFonts w:ascii="Times New Roman" w:hAnsi="Times New Roman"/>
          <w:b w:val="false"/>
          <w:i w:val="false"/>
          <w:color w:val="000000"/>
          <w:sz w:val="14"/>
        </w:rPr>
        <w:t>[Prior to 4/5/23, see 201—Chapter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“waiver” means action by the board that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adopted by the board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The criteria for granting a waiver are set out in Iowa Code section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are incorporated herein.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to the board’s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includes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or entity for which a waiver is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Iowa Code section </w:t>
      </w:r>
      <w:hyperlink r:id="rId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This statement will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regulated activity affected by the proposed waiver, including a description of any notices of violation, contested case hearings, or investigative reports relating to the regulated activity within the past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electronic, or in-person meeting between the petitioner and the board’s chairperson, a committee of the board, or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will acknowledge a petition upon receipt. The board ensures that, within 30 days of the receipt of the petition, notice of the pendency of the petition and a concise summary of its contents have been provided to all persons to whom notice is required by any provision of law.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any petition for a waiver filed within a contested case and also apply to board proceedings for a waiver when the board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will be made at the sole discretion of the board, upon consideration of all relevant factors. Each petition for a waiver is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will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balances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is not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may grant or deny a petition for a waiver as soon as practicable but, in any event, will do so within 120 days of its receipt unless the petitioner agrees to a later date. However, if a petition is filed in a contested case, the board will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will be deemed a denial of that petition by the board. However, the board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will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205—15.11</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are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205—15.12</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will make a submission on the Internet site established pursuant to Iowa Code section </w:t>
      </w:r>
      <w:hyperlink r:id="rId1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will identify the rules for which a waiver has been granted or denied, the number of times a waiver was granted or denied for each rule, a citation to the statutory provisions implemented by these rules, and a general summary of the reasons justifying the authority’s actions on waiver requests. If practicable, the report will also detail the extent to which granting a waiver has established a precedent for additional waivers and the extent to which the granting of a waiver has affected the general applicability of the rule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205—15.13</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205—15.14</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is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205—15.15</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205—15.16</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emergency 7/3/97—published 7/30/97, effective 7/3/97]</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8447C</w:t>
      </w:r>
      <w:r>
        <w:rPr>
          <w:rFonts w:ascii="Times New Roman" w:hAnsi="Times New Roman"/>
          <w:b w:val="false"/>
          <w:i w:val="false"/>
          <w:color w:val="000000"/>
          <w:sz w:val="21"/>
        </w:rPr>
        <w:t xml:space="preserve"> (Notice ARC 8190C,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