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UST FUND BOARD AUTHORITY TO TRANSFER LIABILITIES TO A THIRD PARTY</w:t>
      </w:r>
      <w:r>
        <w:br/>
      </w:r>
      <w:r>
        <w:rPr>
          <w:rFonts w:ascii="Times New Roman" w:hAnsi="Times New Roman"/>
          <w:b w:val="false"/>
          <w:i w:val="false"/>
          <w:color w:val="000000"/>
          <w:sz w:val="21"/>
        </w:rPr>
        <w:t>(LOSS PORTFOLIO TRANSFERS)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591—9.1</w:t>
      </w:r>
      <w:r>
        <w:rPr>
          <w:rFonts w:ascii="Times New Roman" w:hAnsi="Times New Roman"/>
          <w:b/>
          <w:i w:val="false"/>
          <w:color w:val="000000"/>
          <w:sz w:val="22"/>
        </w:rPr>
        <w:t xml:space="preserve">(455G) </w:t>
      </w:r>
      <w:r>
        <w:rPr>
          <w:rFonts w:ascii="Times New Roman" w:hAnsi="Times New Roman"/>
          <w:b/>
          <w:i w:val="false"/>
          <w:color w:val="000000"/>
          <w:sz w:val="22"/>
        </w:rPr>
        <w:t xml:space="preserve">Board authority for loss portfolio transfers. </w:t>
      </w:r>
      <w:r>
        <w:rPr>
          <w:rFonts w:ascii="Times New Roman" w:hAnsi="Times New Roman"/>
          <w:b w:val="false"/>
          <w:i w:val="false"/>
          <w:color w:val="000000"/>
          <w:sz w:val="22"/>
        </w:rPr>
        <w:t>The board may enter into a transaction with a third party to transfer a portion or all of the board’s liabilities. The board maintains the sole discretion to pursue such a transaction and may elect to pursue or not to pursue such a transaction based on whether or not the board deems such a transaction to be in the best interest of the program.</w:t>
      </w:r>
    </w:p>
    <w:p>
      <w:pPr>
        <w:spacing w:before="210" w:after="0"/>
        <w:ind w:left="120"/>
        <w:jc w:val="both"/>
      </w:pPr>
      <w:r>
        <w:rPr>
          <w:rFonts w:ascii="Times New Roman" w:hAnsi="Times New Roman"/>
          <w:b/>
          <w:i w:val="false"/>
          <w:color w:val="000000"/>
          <w:sz w:val="22"/>
        </w:rPr>
        <w:t>591—9.2</w:t>
      </w:r>
      <w:r>
        <w:rPr>
          <w:rFonts w:ascii="Times New Roman" w:hAnsi="Times New Roman"/>
          <w:b/>
          <w:i w:val="false"/>
          <w:color w:val="000000"/>
          <w:sz w:val="22"/>
        </w:rPr>
        <w:t xml:space="preserve">(455G) </w:t>
      </w:r>
      <w:r>
        <w:rPr>
          <w:rFonts w:ascii="Times New Roman" w:hAnsi="Times New Roman"/>
          <w:b/>
          <w:i w:val="false"/>
          <w:color w:val="000000"/>
          <w:sz w:val="22"/>
        </w:rPr>
        <w:t xml:space="preserve">Board liability subsequent to a loss portfolio transfer. </w:t>
      </w:r>
      <w:r>
        <w:rPr>
          <w:rFonts w:ascii="Times New Roman" w:hAnsi="Times New Roman"/>
          <w:b w:val="false"/>
          <w:i w:val="false"/>
          <w:color w:val="000000"/>
          <w:sz w:val="22"/>
        </w:rPr>
        <w:t xml:space="preserve">Once a claim is transferred as part of a loss portfolio transfer transaction, the board, pursuant to Iowa Code Supplement section </w:t>
      </w:r>
      <w:hyperlink r:id="rId5">
        <w:r>
          <w:rPr>
            <w:rStyle w:val="Hyperlink"/>
            <w:rFonts w:ascii="Times New Roman" w:hAnsi="Times New Roman"/>
            <w:b w:val="false"/>
            <w:i w:val="false"/>
            <w:color w:val="000000"/>
            <w:sz w:val="22"/>
          </w:rPr>
          <w:t>455G.6(17)</w:t>
        </w:r>
      </w:hyperlink>
      <w:r>
        <w:rPr>
          <w:rFonts w:ascii="Times New Roman" w:hAnsi="Times New Roman"/>
          <w:b w:val="false"/>
          <w:i w:val="false"/>
          <w:color w:val="000000"/>
          <w:sz w:val="22"/>
        </w:rPr>
        <w:t>, shall not reimburse any further costs associated with that claim.</w:t>
      </w:r>
    </w:p>
    <w:p>
      <w:pPr>
        <w:spacing w:before="0" w:after="0"/>
        <w:ind w:left="120"/>
        <w:jc w:val="both"/>
      </w:pPr>
      <w:r>
        <w:rPr>
          <w:rFonts w:ascii="Times New Roman" w:hAnsi="Times New Roman"/>
          <w:b/>
          <w:i w:val="false"/>
          <w:color w:val="000000"/>
          <w:sz w:val="22"/>
        </w:rPr>
        <w:t>591—9.3</w:t>
      </w:r>
      <w:r>
        <w:rPr>
          <w:rFonts w:ascii="Times New Roman" w:hAnsi="Times New Roman"/>
          <w:b/>
          <w:i w:val="false"/>
          <w:color w:val="000000"/>
          <w:sz w:val="22"/>
        </w:rPr>
        <w:t xml:space="preserve">(455G) </w:t>
      </w:r>
      <w:r>
        <w:rPr>
          <w:rFonts w:ascii="Times New Roman" w:hAnsi="Times New Roman"/>
          <w:b/>
          <w:i w:val="false"/>
          <w:color w:val="000000"/>
          <w:sz w:val="22"/>
        </w:rPr>
        <w:t xml:space="preserve">Minimum criteria to be evaluated. </w:t>
      </w:r>
      <w:r>
        <w:rPr>
          <w:rFonts w:ascii="Times New Roman" w:hAnsi="Times New Roman"/>
          <w:b w:val="false"/>
          <w:i w:val="false"/>
          <w:color w:val="000000"/>
          <w:sz w:val="22"/>
        </w:rPr>
        <w:t>In order to determine whether or not a transfer of a portion or all of its liabilities is in the best interest of the program, the board will evaluate, at a minimum,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Effect on overall cost to reach closure on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Effect on speed with which site closure will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Qualifications of the potential acquiring entity,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with environmental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Knowledge of corrective action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val="false"/>
          <w:color w:val="000000"/>
          <w:sz w:val="22"/>
        </w:rPr>
        <w:t>Impact on claims not included in the proposed transfer,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Ability to timely pay ongoing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Delays in completing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Board’s ability to end liability for all claims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val="false"/>
          <w:color w:val="000000"/>
          <w:sz w:val="22"/>
        </w:rPr>
        <w:t>Impact the transfer will have on the statutory rights of the claimants.</w:t>
      </w:r>
    </w:p>
    <w:p>
      <w:pPr>
        <w:spacing w:before="210" w:after="0"/>
        <w:ind w:left="120"/>
        <w:jc w:val="both"/>
      </w:pPr>
      <w:r>
        <w:rPr>
          <w:rFonts w:ascii="Times New Roman" w:hAnsi="Times New Roman"/>
          <w:b/>
          <w:i w:val="false"/>
          <w:color w:val="000000"/>
          <w:sz w:val="22"/>
        </w:rPr>
        <w:t>591—9.4</w:t>
      </w:r>
      <w:r>
        <w:rPr>
          <w:rFonts w:ascii="Times New Roman" w:hAnsi="Times New Roman"/>
          <w:b/>
          <w:i w:val="false"/>
          <w:color w:val="000000"/>
          <w:sz w:val="22"/>
        </w:rPr>
        <w:t xml:space="preserve">(455G) </w:t>
      </w:r>
      <w:r>
        <w:rPr>
          <w:rFonts w:ascii="Times New Roman" w:hAnsi="Times New Roman"/>
          <w:b/>
          <w:i w:val="false"/>
          <w:color w:val="000000"/>
          <w:sz w:val="22"/>
        </w:rPr>
        <w:t xml:space="preserve">Proposal confidentiality. </w:t>
      </w:r>
      <w:r>
        <w:rPr>
          <w:rFonts w:ascii="Times New Roman" w:hAnsi="Times New Roman"/>
          <w:b w:val="false"/>
          <w:i w:val="false"/>
          <w:color w:val="000000"/>
          <w:sz w:val="22"/>
        </w:rPr>
        <w:t>Any proposal submitted to the board will be handled in accordance with applicable Iowa law with regard to confidentiality.</w:t>
      </w:r>
    </w:p>
    <w:p>
      <w:pPr>
        <w:spacing w:before="210" w:after="0"/>
        <w:ind w:left="120"/>
        <w:jc w:val="both"/>
      </w:pPr>
      <w:r>
        <w:rPr>
          <w:rFonts w:ascii="Times New Roman" w:hAnsi="Times New Roman"/>
          <w:b/>
          <w:i w:val="false"/>
          <w:color w:val="000000"/>
          <w:sz w:val="22"/>
        </w:rPr>
        <w:t>591—9.5</w:t>
      </w:r>
      <w:r>
        <w:rPr>
          <w:rFonts w:ascii="Times New Roman" w:hAnsi="Times New Roman"/>
          <w:b/>
          <w:i w:val="false"/>
          <w:color w:val="000000"/>
          <w:sz w:val="22"/>
        </w:rPr>
        <w:t xml:space="preserve">(455G) </w:t>
      </w:r>
      <w:r>
        <w:rPr>
          <w:rFonts w:ascii="Times New Roman" w:hAnsi="Times New Roman"/>
          <w:b/>
          <w:i w:val="false"/>
          <w:color w:val="000000"/>
          <w:sz w:val="22"/>
        </w:rPr>
        <w:t xml:space="preserve">Requirement to seek bids. </w:t>
      </w:r>
      <w:r>
        <w:rPr>
          <w:rFonts w:ascii="Times New Roman" w:hAnsi="Times New Roman"/>
          <w:b w:val="false"/>
          <w:i w:val="false"/>
          <w:color w:val="000000"/>
          <w:sz w:val="22"/>
        </w:rPr>
        <w:t>Any agreement to transfer liabilities shall be awarded on a competitive basis to the maximum extent practical. In those situations where it is determined that public bidding is not practical, the basis for the determination of impracticability shall be documented by the board or its designee.</w:t>
      </w:r>
    </w:p>
    <w:p>
      <w:pPr>
        <w:spacing w:before="210" w:after="0"/>
        <w:ind w:left="120"/>
        <w:jc w:val="both"/>
      </w:pPr>
      <w:r>
        <w:rPr>
          <w:rFonts w:ascii="Times New Roman" w:hAnsi="Times New Roman"/>
          <w:b/>
          <w:i w:val="false"/>
          <w:color w:val="000000"/>
          <w:sz w:val="22"/>
        </w:rPr>
        <w:t>591—9.6</w:t>
      </w:r>
      <w:r>
        <w:rPr>
          <w:rFonts w:ascii="Times New Roman" w:hAnsi="Times New Roman"/>
          <w:b/>
          <w:i w:val="false"/>
          <w:color w:val="000000"/>
          <w:sz w:val="22"/>
        </w:rPr>
        <w:t xml:space="preserve">(455G) </w:t>
      </w:r>
      <w:r>
        <w:rPr>
          <w:rFonts w:ascii="Times New Roman" w:hAnsi="Times New Roman"/>
          <w:b/>
          <w:i w:val="false"/>
          <w:color w:val="000000"/>
          <w:sz w:val="22"/>
        </w:rPr>
        <w:t xml:space="preserve">Proposal review. </w:t>
      </w:r>
      <w:r>
        <w:rPr>
          <w:rFonts w:ascii="Times New Roman" w:hAnsi="Times New Roman"/>
          <w:b w:val="false"/>
          <w:i w:val="false"/>
          <w:color w:val="000000"/>
          <w:sz w:val="22"/>
        </w:rPr>
        <w:t>The board will review and respond within a reasonable time frame to any proposal submitted seeking a transfer of liabilities. Any board decision to enter into an agreement to transfer liabilities shall be completed consistent with public meeting laws in effect at that time. Work required by the department of natural resources at the site may not be delayed pending review of a proposal. Claims will continue to be handled in accordance with board policy during any pending proposal.</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6">
        <w:r>
          <w:rPr>
            <w:rStyle w:val="Hyperlink"/>
            <w:rFonts w:ascii="Times New Roman" w:hAnsi="Times New Roman"/>
            <w:b w:val="false"/>
            <w:i w:val="false"/>
            <w:color w:val="000000"/>
            <w:sz w:val="22"/>
          </w:rPr>
          <w:t>455G.6(17)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6/4/04, Notice 4/28/04—published 6/23/04, effective 7/28/04]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G.6.pdf" Type="http://schemas.openxmlformats.org/officeDocument/2006/relationships/hyperlink" Id="rId5"/>
    <Relationship TargetMode="External" Target="https://www.legis.iowa.gov/docs/ico/chapter/455G.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