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w:t>
      </w:r>
    </w:p>
    <w:p>
      <w:pPr>
        <w:pBdr>
          <w:bottom w:space="3"/>
        </w:pBdr>
        <w:spacing w:before="0" w:after="0"/>
        <w:ind w:left="120"/>
        <w:jc w:val="center"/>
      </w:pPr>
      <w:r>
        <w:rPr>
          <w:rFonts w:ascii="Times New Roman" w:hAnsi="Times New Roman"/>
          <w:b w:val="false"/>
          <w:i w:val="false"/>
          <w:color w:val="000000"/>
          <w:sz w:val="16"/>
        </w:rPr>
        <w:t>DEPARTMENT OPERATIONS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421—1.1</w:t>
      </w:r>
      <w:r>
        <w:rPr>
          <w:rFonts w:ascii="Times New Roman" w:hAnsi="Times New Roman"/>
          <w:b/>
          <w:i w:val="false"/>
          <w:color w:val="000000"/>
          <w:sz w:val="22"/>
        </w:rPr>
        <w:t xml:space="preserve">(17A,216A)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human rights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“Underrepresented” </w:t>
      </w:r>
      <w:r>
        <w:rPr>
          <w:rFonts w:ascii="Times New Roman" w:hAnsi="Times New Roman"/>
          <w:b w:val="false"/>
          <w:i w:val="false"/>
          <w:color w:val="000000"/>
          <w:sz w:val="22"/>
        </w:rPr>
        <w:t>means the historical marginalization of populations or groups in the United States and Iowa, including but not limited to African Americans, Asian and Pacific Islanders, persons who are deaf or hard of hearing, persons with disabilities, Latinos, Native Americans, women, persons who have low socioeconomic status, at-risk youth, and adults or juveniles with a criminal history.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421—1.2</w:t>
      </w:r>
      <w:r>
        <w:rPr>
          <w:rFonts w:ascii="Times New Roman" w:hAnsi="Times New Roman"/>
          <w:b/>
          <w:i w:val="false"/>
          <w:color w:val="000000"/>
          <w:sz w:val="22"/>
        </w:rPr>
        <w:t xml:space="preserve">(17A,216A)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Rescinded </w:t>
      </w:r>
      <w:r>
        <w:rPr>
          <w:rFonts w:ascii="Times New Roman" w:hAnsi="Times New Roman"/>
          <w:b/>
          <w:i w:val="false"/>
          <w:color w:val="000000"/>
          <w:sz w:val="22"/>
        </w:rPr>
        <w:t>ARC 7710C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3/6/24</w:t>
      </w:r>
      <w:r>
        <w:rPr>
          <w:rFonts w:ascii="Times New Roman" w:hAnsi="Times New Roman"/>
          <w:b w:val="false"/>
          <w:i w:val="false"/>
          <w:color w:val="000000"/>
          <w:sz w:val="22"/>
        </w:rPr>
        <w:t>, effective 7/1/24.</w:t>
      </w:r>
      <w:r>
        <w:rPr>
          <w:rFonts w:ascii="Times New Roman" w:hAnsi="Times New Roman"/>
          <w:b w:val="false"/>
          <w:i w:val="false"/>
          <w:color w:val="000000"/>
          <w:sz w:val="10"/>
        </w:rPr>
        <w:t>1</w:t>
      </w:r>
    </w:p>
    <w:p>
      <w:pPr>
        <w:spacing w:before="210" w:after="0"/>
        <w:ind w:left="120"/>
        <w:jc w:val="both"/>
      </w:pPr>
      <w:r>
        <w:rPr>
          <w:rFonts w:ascii="Times New Roman" w:hAnsi="Times New Roman"/>
          <w:b/>
          <w:i w:val="false"/>
          <w:color w:val="000000"/>
          <w:sz w:val="22"/>
        </w:rPr>
        <w:t>421—1.3</w:t>
      </w:r>
      <w:r>
        <w:rPr>
          <w:rFonts w:ascii="Times New Roman" w:hAnsi="Times New Roman"/>
          <w:b/>
          <w:i w:val="false"/>
          <w:color w:val="000000"/>
          <w:sz w:val="22"/>
        </w:rPr>
        <w:t xml:space="preserve">(17A,216A) </w:t>
      </w:r>
      <w:r>
        <w:rPr>
          <w:rFonts w:ascii="Times New Roman" w:hAnsi="Times New Roman"/>
          <w:b/>
          <w:i w:val="false"/>
          <w:color w:val="000000"/>
          <w:sz w:val="22"/>
        </w:rPr>
        <w:t xml:space="preserve">History. </w:t>
      </w:r>
      <w:r>
        <w:rPr>
          <w:rFonts w:ascii="Times New Roman" w:hAnsi="Times New Roman"/>
          <w:b w:val="false"/>
          <w:i w:val="false"/>
          <w:color w:val="000000"/>
          <w:sz w:val="22"/>
        </w:rPr>
        <w:t xml:space="preserve">Rescinded </w:t>
      </w:r>
      <w:r>
        <w:rPr>
          <w:rFonts w:ascii="Times New Roman" w:hAnsi="Times New Roman"/>
          <w:b/>
          <w:i w:val="false"/>
          <w:color w:val="000000"/>
          <w:sz w:val="22"/>
        </w:rPr>
        <w:t>ARC 7710C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3/6/24</w:t>
      </w:r>
      <w:r>
        <w:rPr>
          <w:rFonts w:ascii="Times New Roman" w:hAnsi="Times New Roman"/>
          <w:b w:val="false"/>
          <w:i w:val="false"/>
          <w:color w:val="000000"/>
          <w:sz w:val="22"/>
        </w:rPr>
        <w:t>, effective 7/1/24.</w:t>
      </w:r>
      <w:r>
        <w:rPr>
          <w:rFonts w:ascii="Times New Roman" w:hAnsi="Times New Roman"/>
          <w:b w:val="false"/>
          <w:i w:val="false"/>
          <w:color w:val="000000"/>
          <w:sz w:val="10"/>
        </w:rPr>
        <w:t>1</w:t>
      </w:r>
    </w:p>
    <w:p>
      <w:pPr>
        <w:spacing w:before="0" w:after="0"/>
        <w:ind w:left="120"/>
        <w:jc w:val="both"/>
      </w:pPr>
      <w:r>
        <w:rPr>
          <w:rFonts w:ascii="Times New Roman" w:hAnsi="Times New Roman"/>
          <w:b/>
          <w:i w:val="false"/>
          <w:color w:val="000000"/>
          <w:sz w:val="22"/>
        </w:rPr>
        <w:t>421—1.4</w:t>
      </w:r>
      <w:r>
        <w:rPr>
          <w:rFonts w:ascii="Times New Roman" w:hAnsi="Times New Roman"/>
          <w:b/>
          <w:i w:val="false"/>
          <w:color w:val="000000"/>
          <w:sz w:val="22"/>
        </w:rPr>
        <w:t xml:space="preserve">(17A,216A) </w:t>
      </w:r>
      <w:r>
        <w:rPr>
          <w:rFonts w:ascii="Times New Roman" w:hAnsi="Times New Roman"/>
          <w:b/>
          <w:i w:val="false"/>
          <w:color w:val="000000"/>
          <w:sz w:val="22"/>
        </w:rPr>
        <w:t xml:space="preserve">Mission. </w:t>
      </w:r>
      <w:r>
        <w:rPr>
          <w:rFonts w:ascii="Times New Roman" w:hAnsi="Times New Roman"/>
          <w:b w:val="false"/>
          <w:i w:val="false"/>
          <w:color w:val="000000"/>
          <w:sz w:val="22"/>
        </w:rPr>
        <w:t>The department’s mission related to human rights is to ensure basic rights, freedoms, and opportunities for all by empowering underrepresented Iowans and eliminating economic, social, and cultural barriers. The department helps individuals attain economic independence by ensuring access to government services and advancing educational achievement and entrepreneurial success consistent with their aspirations.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i w:val="false"/>
          <w:color w:val="000000"/>
          <w:sz w:val="16"/>
        </w:rPr>
        <w:t>ARC 7710C</w:t>
      </w:r>
      <w:r>
        <w:rPr>
          <w:rFonts w:ascii="Times New Roman" w:hAnsi="Times New Roman"/>
          <w:b w:val="false"/>
          <w:i w:val="false"/>
          <w:color w:val="000000"/>
          <w:sz w:val="16"/>
        </w:rPr>
        <w:t>, IAB 3/6/24,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see correction note at end of chapter]</w:t>
      </w:r>
    </w:p>
    <w:p>
      <w:pPr>
        <w:spacing w:before="0" w:after="0"/>
        <w:ind w:left="120"/>
        <w:jc w:val="both"/>
      </w:pPr>
      <w:r>
        <w:rPr>
          <w:rFonts w:ascii="Times New Roman" w:hAnsi="Times New Roman"/>
          <w:b/>
          <w:i w:val="false"/>
          <w:color w:val="000000"/>
          <w:sz w:val="22"/>
        </w:rPr>
        <w:t>421—1.5</w:t>
      </w:r>
      <w:r>
        <w:rPr>
          <w:rFonts w:ascii="Times New Roman" w:hAnsi="Times New Roman"/>
          <w:b/>
          <w:i w:val="false"/>
          <w:color w:val="000000"/>
          <w:sz w:val="22"/>
        </w:rPr>
        <w:t xml:space="preserve">(17A,216A) </w:t>
      </w:r>
      <w:r>
        <w:rPr>
          <w:rFonts w:ascii="Times New Roman" w:hAnsi="Times New Roman"/>
          <w:b/>
          <w:i w:val="false"/>
          <w:color w:val="000000"/>
          <w:sz w:val="22"/>
        </w:rPr>
        <w:t xml:space="preserve">Contact information. </w:t>
      </w:r>
      <w:r>
        <w:rPr>
          <w:rFonts w:ascii="Times New Roman" w:hAnsi="Times New Roman"/>
          <w:b w:val="false"/>
          <w:i w:val="false"/>
          <w:color w:val="000000"/>
          <w:sz w:val="22"/>
        </w:rPr>
        <w:t xml:space="preserve">Requests for assistance, information, inquiries, submissions, petitions, and other communications related to human rights may be directed to the department as follows: The office is located at 321 E. 12th Street, Des Moines, Iowa 50319. The main telephone number is 515.242.5655. The fax number is 515.242.6119. Regular office hours are Monday through Friday, 8 a.m.to 4:30 p.m., excluding legal holidays. The department’s website is </w:t>
      </w:r>
      <w:hyperlink r:id="rId5">
        <w:r>
          <w:rPr>
            <w:rStyle w:val="Hyperlink"/>
            <w:rFonts w:ascii="Times New Roman" w:hAnsi="Times New Roman"/>
            <w:b w:val="false"/>
            <w:i w:val="false"/>
            <w:color w:val="000000"/>
            <w:sz w:val="22"/>
            <w:u w:val="single"/>
          </w:rPr>
          <w:t>hhs.iowa.gov</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i w:val="false"/>
          <w:color w:val="000000"/>
          <w:sz w:val="16"/>
        </w:rPr>
        <w:t>ARC 7710C</w:t>
      </w:r>
      <w:r>
        <w:rPr>
          <w:rFonts w:ascii="Times New Roman" w:hAnsi="Times New Roman"/>
          <w:b w:val="false"/>
          <w:i w:val="false"/>
          <w:color w:val="000000"/>
          <w:sz w:val="16"/>
        </w:rPr>
        <w:t>, IAB 3/6/24,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see correction note at end of chapter]</w:t>
      </w:r>
    </w:p>
    <w:p>
      <w:pPr>
        <w:spacing w:before="0" w:after="0"/>
        <w:ind w:left="120"/>
        <w:jc w:val="both"/>
      </w:pPr>
      <w:r>
        <w:rPr>
          <w:rFonts w:ascii="Times New Roman" w:hAnsi="Times New Roman"/>
          <w:b/>
          <w:i w:val="false"/>
          <w:color w:val="000000"/>
          <w:sz w:val="22"/>
        </w:rPr>
        <w:t>421—1.6</w:t>
      </w:r>
      <w:r>
        <w:rPr>
          <w:rFonts w:ascii="Times New Roman" w:hAnsi="Times New Roman"/>
          <w:b/>
          <w:i w:val="false"/>
          <w:color w:val="000000"/>
          <w:sz w:val="22"/>
        </w:rPr>
        <w:t xml:space="preserve">(216A) </w:t>
      </w:r>
      <w:r>
        <w:rPr>
          <w:rFonts w:ascii="Times New Roman" w:hAnsi="Times New Roman"/>
          <w:b/>
          <w:i w:val="false"/>
          <w:color w:val="000000"/>
          <w:sz w:val="22"/>
        </w:rPr>
        <w:t xml:space="preserve">Human rights board. </w:t>
      </w:r>
      <w:r>
        <w:rPr>
          <w:rFonts w:ascii="Times New Roman" w:hAnsi="Times New Roman"/>
          <w:b w:val="false"/>
          <w:i w:val="false"/>
          <w:color w:val="000000"/>
          <w:sz w:val="22"/>
        </w:rPr>
        <w:t xml:space="preserve">The authority, duties and composition of the human rights board are specified in Iowa Code section </w:t>
      </w:r>
      <w:hyperlink r:id="rId6">
        <w:r>
          <w:rPr>
            <w:rStyle w:val="Hyperlink"/>
            <w:rFonts w:ascii="Times New Roman" w:hAnsi="Times New Roman"/>
            <w:b w:val="false"/>
            <w:i w:val="false"/>
            <w:color w:val="000000"/>
            <w:sz w:val="22"/>
          </w:rPr>
          <w:t>216A.3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i w:val="false"/>
          <w:color w:val="000000"/>
          <w:sz w:val="16"/>
        </w:rPr>
        <w:t>ARC 7710C</w:t>
      </w:r>
      <w:r>
        <w:rPr>
          <w:rFonts w:ascii="Times New Roman" w:hAnsi="Times New Roman"/>
          <w:b w:val="false"/>
          <w:i w:val="false"/>
          <w:color w:val="000000"/>
          <w:sz w:val="16"/>
        </w:rPr>
        <w:t>, IAB 3/6/24,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see correction note at end of chapter]</w:t>
      </w:r>
    </w:p>
    <w:p>
      <w:pPr>
        <w:spacing w:before="0" w:after="0"/>
        <w:ind w:left="120"/>
        <w:jc w:val="both"/>
      </w:pPr>
      <w:r>
        <w:rPr>
          <w:rFonts w:ascii="Times New Roman" w:hAnsi="Times New Roman"/>
          <w:b/>
          <w:i w:val="false"/>
          <w:color w:val="000000"/>
          <w:sz w:val="22"/>
        </w:rPr>
        <w:t>421—1.7</w:t>
      </w:r>
      <w:r>
        <w:rPr>
          <w:rFonts w:ascii="Times New Roman" w:hAnsi="Times New Roman"/>
          <w:b/>
          <w:i w:val="false"/>
          <w:color w:val="000000"/>
          <w:sz w:val="22"/>
        </w:rPr>
        <w:t xml:space="preserve">(216A) </w:t>
      </w:r>
      <w:r>
        <w:rPr>
          <w:rFonts w:ascii="Times New Roman" w:hAnsi="Times New Roman"/>
          <w:b/>
          <w:i w:val="false"/>
          <w:color w:val="000000"/>
          <w:sz w:val="22"/>
        </w:rPr>
        <w:t xml:space="preserve">Potential conflicts of interest. </w:t>
      </w:r>
      <w:r>
        <w:rPr>
          <w:rFonts w:ascii="Times New Roman" w:hAnsi="Times New Roman"/>
          <w:b w:val="false"/>
          <w:i w:val="false"/>
          <w:color w:val="000000"/>
          <w:sz w:val="22"/>
        </w:rPr>
        <w:t xml:space="preserve">Any member of the department’s boards, commissions, or councils established in Iowa Code chapter </w:t>
      </w:r>
      <w:hyperlink r:id="rId7">
        <w:r>
          <w:rPr>
            <w:rStyle w:val="Hyperlink"/>
            <w:rFonts w:ascii="Times New Roman" w:hAnsi="Times New Roman"/>
            <w:b w:val="false"/>
            <w:i w:val="false"/>
            <w:color w:val="000000"/>
            <w:sz w:val="22"/>
          </w:rPr>
          <w:t>216A</w:t>
        </w:r>
      </w:hyperlink>
      <w:r>
        <w:rPr>
          <w:rFonts w:ascii="Times New Roman" w:hAnsi="Times New Roman"/>
          <w:b w:val="false"/>
          <w:i w:val="false"/>
          <w:color w:val="000000"/>
          <w:sz w:val="22"/>
        </w:rPr>
        <w:t xml:space="preserve"> who may have a conflict of interest shall not vote on any substantive action on the matter in conflict. When a conflict of interest is determined to exist, the member shall abstain from voting and shall be recorded as abstaining when votes are taken. A quorum may include any member who has a conflict of interest, and a statement of a conflict of interest shall be conclusive for this purpose. Any vote by a member with a conflict shall be excluded.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216A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6101C</w:t>
      </w:r>
      <w:r>
        <w:rPr>
          <w:rFonts w:ascii="Times New Roman" w:hAnsi="Times New Roman"/>
          <w:b w:val="false"/>
          <w:i w:val="false"/>
          <w:color w:val="000000"/>
          <w:sz w:val="21"/>
        </w:rPr>
        <w:t xml:space="preserve"> (Notice ARC 6004C, IAB 10/20/21)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[Editorial change: IAC Supplement 6/28/23]</w:t>
      </w:r>
    </w:p>
    <w:p>
      <w:pPr>
        <w:spacing w:before="0" w:after="0"/>
        <w:ind w:left="120"/>
        <w:jc w:val="center"/>
      </w:pPr>
      <w:r>
        <w:rPr>
          <w:rFonts w:ascii="Times New Roman" w:hAnsi="Times New Roman"/>
          <w:b w:val="false"/>
          <w:i w:val="false"/>
          <w:color w:val="000000"/>
          <w:sz w:val="21"/>
        </w:rPr>
        <w:t>[Filed ARC 7710C</w:t>
      </w:r>
      <w:r>
        <w:rPr>
          <w:rFonts w:ascii="Times New Roman" w:hAnsi="Times New Roman"/>
          <w:b w:val="false"/>
          <w:i w:val="false"/>
          <w:color w:val="000000"/>
          <w:sz w:val="21"/>
        </w:rPr>
        <w:t xml:space="preserve"> (Notice ARC 7063C, IAB 8/23/23)</w:t>
      </w:r>
      <w:r>
        <w:rPr>
          <w:rFonts w:ascii="Times New Roman" w:hAnsi="Times New Roman"/>
          <w:b w:val="false"/>
          <w:i w:val="false"/>
          <w:color w:val="000000"/>
          <w:sz w:val="21"/>
        </w:rPr>
        <w:t>, IAB 3/6/24, effective 7/1/24]</w:t>
      </w:r>
      <w:r>
        <w:rPr>
          <w:rFonts w:ascii="Times New Roman" w:hAnsi="Times New Roman"/>
          <w:b w:val="false"/>
          <w:i w:val="false"/>
          <w:color w:val="000000"/>
          <w:sz w:val="10"/>
        </w:rPr>
        <w:t>1</w:t>
      </w:r>
    </w:p>
    <w:p>
      <w:pPr>
        <w:spacing w:before="0" w:after="0"/>
        <w:ind w:left="120"/>
        <w:jc w:val="both"/>
      </w:pPr>
      <w:r>
        <w:rPr>
          <w:rFonts w:ascii="Times New Roman" w:hAnsi="Times New Roman"/>
          <w:b w:val="false"/>
          <w:i w:val="false"/>
          <w:color w:val="000000"/>
          <w:sz w:val="22"/>
        </w:rPr>
        <w:t xml:space="preserve">The effective date of </w:t>
      </w:r>
      <w:r>
        <w:rPr>
          <w:rFonts w:ascii="Times New Roman" w:hAnsi="Times New Roman"/>
          <w:b/>
          <w:i w:val="false"/>
          <w:color w:val="000000"/>
          <w:sz w:val="22"/>
        </w:rPr>
        <w:t>ARC 7110C</w:t>
      </w:r>
      <w:r>
        <w:rPr>
          <w:rFonts w:ascii="Times New Roman" w:hAnsi="Times New Roman"/>
          <w:b w:val="false"/>
          <w:i w:val="false"/>
          <w:color w:val="000000"/>
          <w:sz w:val="22"/>
        </w:rPr>
        <w:t xml:space="preserve"> was corrected to July 1, 2024, in the April 3, 2024, Iowa Administrative Bulletin.</w:t>
      </w:r>
    </w:p>
    <w:p>
      <w:pPr>
        <w:spacing w:before="0" w:after="0"/>
        <w:ind w:left="120"/>
        <w:jc w:val="both"/>
      </w:pP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hhs.iowa.gov" Type="http://schemas.openxmlformats.org/officeDocument/2006/relationships/hyperlink" Id="rId5"/>
    <Relationship TargetMode="External" Target="https://www.legis.iowa.gov/docs/ico/chapter/216A.3.pdf" Type="http://schemas.openxmlformats.org/officeDocument/2006/relationships/hyperlink" Id="rId6"/>
    <Relationship TargetMode="External" Target="https://www.legis.iowa.gov/docs/ico/chapter/216A.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216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