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56</w:t>
      </w:r>
    </w:p>
    <w:p>
      <w:pPr>
        <w:spacing w:before="0" w:after="0"/>
        <w:ind w:left="120"/>
        <w:jc w:val="center"/>
      </w:pPr>
      <w:r>
        <w:rPr>
          <w:rFonts w:ascii="Times New Roman" w:hAnsi="Times New Roman"/>
          <w:b w:val="false"/>
          <w:i w:val="false"/>
          <w:color w:val="000000"/>
          <w:sz w:val="21"/>
        </w:rPr>
        <w:t>WORKERS’ COMPENSATION GROUP SELF-INSURANCE</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191—56.1</w:t>
      </w:r>
      <w:r>
        <w:rPr>
          <w:rFonts w:ascii="Times New Roman" w:hAnsi="Times New Roman"/>
          <w:b/>
          <w:i w:val="false"/>
          <w:color w:val="000000"/>
          <w:sz w:val="22"/>
        </w:rPr>
        <w:t xml:space="preserve">(87,505)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Associations which are issued a certificate of approval by the commissioner shall not be deemed to be insurance companies and shall not be subject to the provisions of the insurance laws and regulations contained in Title XX of the Iowa Code except as otherwise provided in this chapter or by statute. Associations are not subject to the premium tax under Iowa Code section </w:t>
      </w:r>
      <w:hyperlink r:id="rId5">
        <w:r>
          <w:rPr>
            <w:rStyle w:val="Hyperlink"/>
            <w:rFonts w:ascii="Times New Roman" w:hAnsi="Times New Roman"/>
            <w:b w:val="false"/>
            <w:i w:val="false"/>
            <w:color w:val="000000"/>
            <w:sz w:val="22"/>
          </w:rPr>
          <w:t>432.1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this chapter is to provide reasonable conditions and restrictions for the approval of self-insurance for workers’ compensation liability for associations of employers that have formed an insurance association under Iowa Code section </w:t>
      </w:r>
      <w:hyperlink r:id="rId6">
        <w:r>
          <w:rPr>
            <w:rStyle w:val="Hyperlink"/>
            <w:rFonts w:ascii="Times New Roman" w:hAnsi="Times New Roman"/>
            <w:b w:val="false"/>
            <w:i w:val="false"/>
            <w:color w:val="000000"/>
            <w:sz w:val="22"/>
          </w:rPr>
          <w:t>87.4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to promulgate these rules is found in Iowa Code section </w:t>
      </w:r>
      <w:hyperlink r:id="rId7">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56.1(4)</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Certificates of relief from insurance shall not exempt a mutual association from Iowa Code chapters </w:t>
      </w:r>
      <w:hyperlink r:id="rId8">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191—56.2</w:t>
      </w:r>
      <w:r>
        <w:rPr>
          <w:rFonts w:ascii="Times New Roman" w:hAnsi="Times New Roman"/>
          <w:b/>
          <w:i w:val="false"/>
          <w:color w:val="000000"/>
          <w:sz w:val="22"/>
        </w:rPr>
        <w:t xml:space="preserve">(87,505)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w:t>
      </w: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 xml:space="preserve">shall mean the commissioner of the insurance division of Iowa, appointed by the governor pursuant to Iowa Code section </w:t>
      </w:r>
      <w:hyperlink r:id="rId13">
        <w:r>
          <w:rPr>
            <w:rStyle w:val="Hyperlink"/>
            <w:rFonts w:ascii="Times New Roman" w:hAnsi="Times New Roman"/>
            <w:b w:val="false"/>
            <w:i w:val="false"/>
            <w:color w:val="000000"/>
            <w:sz w:val="22"/>
          </w:rPr>
          <w:t>505.2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56.2(2)</w:t>
      </w: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shall mean the insurance division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56.2(3)</w:t>
      </w: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 xml:space="preserve">shall be defined as set forth in Iowa Code section </w:t>
      </w:r>
      <w:hyperlink r:id="rId14">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56.2(4)</w:t>
      </w: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self-insurance association”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“association” </w:t>
      </w:r>
      <w:r>
        <w:rPr>
          <w:rFonts w:ascii="Times New Roman" w:hAnsi="Times New Roman"/>
          <w:b w:val="false"/>
          <w:i w:val="false"/>
          <w:color w:val="000000"/>
          <w:sz w:val="22"/>
        </w:rPr>
        <w:t xml:space="preserve">means a not-for-profit unincorporated association consisting of five or more employers who are members of the same bona fide business or professional association which has been in existence for not less than five years, and who enter into agreements to pool their liabilities for workers’ compensation benefits and employer’s liability in this state pursuant to Iowa Code section </w:t>
      </w:r>
      <w:hyperlink r:id="rId15">
        <w:r>
          <w:rPr>
            <w:rStyle w:val="Hyperlink"/>
            <w:rFonts w:ascii="Times New Roman" w:hAnsi="Times New Roman"/>
            <w:b w:val="false"/>
            <w:i w:val="false"/>
            <w:color w:val="000000"/>
            <w:sz w:val="22"/>
          </w:rPr>
          <w:t>87.4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56.2(5)</w:t>
      </w: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an individual, partnership or corporation engaged by a workers’ compensation self-insurance association’s board of trustees to carry out the policies established by the association’s board of trustees and to provide day-to-day management of the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56.2(6)</w:t>
      </w:r>
      <w:r>
        <w:rPr>
          <w:rFonts w:ascii="Times New Roman" w:hAnsi="Times New Roman"/>
          <w:b w:val="false"/>
          <w:i w:val="false"/>
          <w:color w:val="000000"/>
          <w:sz w:val="22"/>
        </w:rPr>
        <w:t> </w:t>
      </w:r>
      <w:r>
        <w:rPr>
          <w:rFonts w:ascii="Times New Roman" w:hAnsi="Times New Roman"/>
          <w:b w:val="false"/>
          <w:i/>
          <w:color w:val="000000"/>
          <w:sz w:val="22"/>
        </w:rPr>
        <w:t xml:space="preserve">“Insolvent”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“insolvency” </w:t>
      </w:r>
      <w:r>
        <w:rPr>
          <w:rFonts w:ascii="Times New Roman" w:hAnsi="Times New Roman"/>
          <w:b w:val="false"/>
          <w:i w:val="false"/>
          <w:color w:val="000000"/>
          <w:sz w:val="22"/>
        </w:rPr>
        <w:t>means the inability of a workers’ compensation self-insurance association to pay its outstanding lawful obligations as they mature in the regular course of business, as may be shown either by an excess of its required reserves and other liabilities over its assets or by its not having sufficient assets to reinsure all of its outstanding liabilities after paying all accrued claims owed by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56.2(7)</w:t>
      </w:r>
      <w:r>
        <w:rPr>
          <w:rFonts w:ascii="Times New Roman" w:hAnsi="Times New Roman"/>
          <w:b w:val="false"/>
          <w:i w:val="false"/>
          <w:color w:val="000000"/>
          <w:sz w:val="22"/>
        </w:rPr>
        <w:t> </w:t>
      </w:r>
      <w:r>
        <w:rPr>
          <w:rFonts w:ascii="Times New Roman" w:hAnsi="Times New Roman"/>
          <w:b w:val="false"/>
          <w:i/>
          <w:color w:val="000000"/>
          <w:sz w:val="22"/>
        </w:rPr>
        <w:t xml:space="preserve">“Net premium” </w:t>
      </w:r>
      <w:r>
        <w:rPr>
          <w:rFonts w:ascii="Times New Roman" w:hAnsi="Times New Roman"/>
          <w:b w:val="false"/>
          <w:i w:val="false"/>
          <w:color w:val="000000"/>
          <w:sz w:val="22"/>
        </w:rPr>
        <w:t>means premium derived from standard premium adjusted by any advance premium discounts.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56.2(8)</w:t>
      </w:r>
      <w:r>
        <w:rPr>
          <w:rFonts w:ascii="Times New Roman" w:hAnsi="Times New Roman"/>
          <w:b w:val="false"/>
          <w:i w:val="false"/>
          <w:color w:val="000000"/>
          <w:sz w:val="22"/>
        </w:rPr>
        <w:t> </w:t>
      </w:r>
      <w:r>
        <w:rPr>
          <w:rFonts w:ascii="Times New Roman" w:hAnsi="Times New Roman"/>
          <w:b w:val="false"/>
          <w:i/>
          <w:color w:val="000000"/>
          <w:sz w:val="22"/>
        </w:rPr>
        <w:t xml:space="preserve">“Service company” </w:t>
      </w:r>
      <w:r>
        <w:rPr>
          <w:rFonts w:ascii="Times New Roman" w:hAnsi="Times New Roman"/>
          <w:b w:val="false"/>
          <w:i w:val="false"/>
          <w:color w:val="000000"/>
          <w:sz w:val="22"/>
        </w:rPr>
        <w:t>means a person or entity which provides services not provided by the administrator, including but not limited to, (a) claims adjustment, (b) safety engineering, (c) compilation of statistics and the preparation of premium, loss and tax reports, (d) preparation of other required self-insurance reports, (e) development of members’ assessments and fees, and (f) administration of a claim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56.2(9)</w:t>
      </w:r>
      <w:r>
        <w:rPr>
          <w:rFonts w:ascii="Times New Roman" w:hAnsi="Times New Roman"/>
          <w:b w:val="false"/>
          <w:i w:val="false"/>
          <w:color w:val="000000"/>
          <w:sz w:val="22"/>
        </w:rPr>
        <w:t> </w:t>
      </w:r>
      <w:r>
        <w:rPr>
          <w:rFonts w:ascii="Times New Roman" w:hAnsi="Times New Roman"/>
          <w:b w:val="false"/>
          <w:i/>
          <w:color w:val="000000"/>
          <w:sz w:val="22"/>
        </w:rPr>
        <w:t xml:space="preserve">“Standard premium” </w:t>
      </w:r>
      <w:r>
        <w:rPr>
          <w:rFonts w:ascii="Times New Roman" w:hAnsi="Times New Roman"/>
          <w:b w:val="false"/>
          <w:i w:val="false"/>
          <w:color w:val="000000"/>
          <w:sz w:val="22"/>
        </w:rPr>
        <w:t>means the premium derived from the manual rates adjusted by experience modification factors but before advance premium discounts.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56.2(10)</w:t>
      </w: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w:t>
      </w:r>
      <w:r>
        <w:rPr>
          <w:rFonts w:ascii="Times New Roman" w:hAnsi="Times New Roman"/>
          <w:b w:val="false"/>
          <w:i w:val="false"/>
          <w:color w:val="000000"/>
          <w:sz w:val="22"/>
        </w:rPr>
        <w:t>when used as a modifier of “benefits,” “liabilities,” or “obligations” means both workers’ compensation and employer’s liability.</w:t>
      </w:r>
    </w:p>
    <w:p>
      <w:pPr>
        <w:spacing w:before="0" w:after="0"/>
        <w:ind w:left="120"/>
        <w:jc w:val="both"/>
      </w:pPr>
      <w:r>
        <w:rPr>
          <w:rFonts w:ascii="Times New Roman" w:hAnsi="Times New Roman"/>
          <w:b/>
          <w:i w:val="false"/>
          <w:color w:val="000000"/>
          <w:sz w:val="22"/>
        </w:rPr>
        <w:t>191—56.3</w:t>
      </w:r>
      <w:r>
        <w:rPr>
          <w:rFonts w:ascii="Times New Roman" w:hAnsi="Times New Roman"/>
          <w:b/>
          <w:i w:val="false"/>
          <w:color w:val="000000"/>
          <w:sz w:val="22"/>
        </w:rPr>
        <w:t xml:space="preserve">(87,505) </w:t>
      </w:r>
      <w:r>
        <w:rPr>
          <w:rFonts w:ascii="Times New Roman" w:hAnsi="Times New Roman"/>
          <w:b/>
          <w:i w:val="false"/>
          <w:color w:val="000000"/>
          <w:sz w:val="22"/>
        </w:rPr>
        <w:t xml:space="preserve">Requirements for self-insurance.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56.3(1)</w:t>
      </w:r>
      <w:r>
        <w:rPr>
          <w:rFonts w:ascii="Times New Roman" w:hAnsi="Times New Roman"/>
          <w:b w:val="false"/>
          <w:i w:val="false"/>
          <w:color w:val="000000"/>
          <w:sz w:val="22"/>
        </w:rPr>
        <w:t> </w:t>
      </w:r>
      <w:r>
        <w:rPr>
          <w:rFonts w:ascii="Times New Roman" w:hAnsi="Times New Roman"/>
          <w:b w:val="false"/>
          <w:i w:val="false"/>
          <w:color w:val="000000"/>
          <w:sz w:val="22"/>
        </w:rPr>
        <w:t>A proposed workers’ compensation self-insurance association shall file with the commissioner its application for a certificate of approval accompanied by a nonrefundable filing fee in the amount of $100. The application shall include the association’s name, location of its principal office, date of organization, name and address of each member, and such other information as the commissioner may reasonably require, together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compliance with the provisions of </w:t>
      </w:r>
      <w:hyperlink r:id="rId16">
        <w:r>
          <w:rPr>
            <w:rStyle w:val="Hyperlink"/>
            <w:rFonts w:ascii="Times New Roman" w:hAnsi="Times New Roman"/>
            <w:b w:val="false"/>
            <w:i w:val="false"/>
            <w:color w:val="000000"/>
            <w:sz w:val="22"/>
          </w:rPr>
          <w:t>subrule 56.3(2)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articles of association,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agreements with the administrator and with any service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bylaws of the proposed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agreement between the association and each member securing the payment of workers’ compensation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Designation of the initial board of trustees and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address in this state where the books and records of the association will be maintained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pro forma financial statement on a form acceptable to the commissioner showing the financial ability of the association to pay the workers’ compensation obligations of its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payment to the association by each member of not less than a 25 percent deposit of that member’s first year estimated annual net premium on a date prescribed by the commissioner. Such payment shall be considered the deposit premium payment of each member required by </w:t>
      </w:r>
      <w:hyperlink r:id="rId17">
        <w:r>
          <w:rPr>
            <w:rStyle w:val="Hyperlink"/>
            <w:rFonts w:ascii="Times New Roman" w:hAnsi="Times New Roman"/>
            <w:b w:val="false"/>
            <w:i w:val="false"/>
            <w:color w:val="000000"/>
            <w:sz w:val="22"/>
          </w:rPr>
          <w:t>subrule 56.17(1)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“a” </w:t>
      </w:r>
      <w:r>
        <w:rPr>
          <w:rFonts w:ascii="Times New Roman" w:hAnsi="Times New Roman"/>
          <w:b w:val="false"/>
          <w:i w:val="false"/>
          <w:color w:val="000000"/>
          <w:sz w:val="22"/>
        </w:rPr>
        <w:t>if the proposed association is granted a certificate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56.3(2)</w:t>
      </w:r>
      <w:r>
        <w:rPr>
          <w:rFonts w:ascii="Times New Roman" w:hAnsi="Times New Roman"/>
          <w:b w:val="false"/>
          <w:i w:val="false"/>
          <w:color w:val="000000"/>
          <w:sz w:val="22"/>
        </w:rPr>
        <w:t> </w:t>
      </w:r>
      <w:r>
        <w:rPr>
          <w:rFonts w:ascii="Times New Roman" w:hAnsi="Times New Roman"/>
          <w:b w:val="false"/>
          <w:i w:val="false"/>
          <w:color w:val="000000"/>
          <w:sz w:val="22"/>
        </w:rPr>
        <w:t>To obtain and to maintain its certificate of approval, a workers’ compensation self-insurance association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combined net worth of all members of an association of private employers of at least $1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excess insurance of not less than $3 million per occurrence. Associations containing members with a high risk of multiple injury from a single accident may be required to maintain higher limits. The retention shall be the retention generally available to associations with similar exposures and annual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annual aggregate excess insurance with limits above the aggregate retention of not less than $2 million, with an aggregate retention no greater than the estimated earned normal premium collected in the policy year less all estimated expenses during the year including excess insurance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security deposit in an amount not less than the association’s per occurrence excess insurance retention. The security deposit shall either be in the form of a surety bond on a form prescribed by the commissioner or a financial security endorsement issued by a company authorized under </w:t>
      </w:r>
      <w:hyperlink r:id="rId18">
        <w:r>
          <w:rPr>
            <w:rStyle w:val="Hyperlink"/>
            <w:rFonts w:ascii="Times New Roman" w:hAnsi="Times New Roman"/>
            <w:b w:val="false"/>
            <w:i w:val="false"/>
            <w:color w:val="000000"/>
            <w:sz w:val="22"/>
          </w:rPr>
          <w:t>subrule 56.5(1)</w:t>
        </w:r>
      </w:hyperlink>
      <w:r>
        <w:rPr>
          <w:rFonts w:ascii="Times New Roman" w:hAnsi="Times New Roman"/>
          <w:b w:val="false"/>
          <w:i w:val="false"/>
          <w:color w:val="000000"/>
          <w:sz w:val="22"/>
        </w:rPr>
        <w:t>. The commissioner may require a larger security deposit to secure any potential liability of the association not otherwise funded by premium collections or excess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estimated annual standard premium of at least $250,000 during an association’s first year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indemnity agreement jointly and severally binding the association with private employers and each member thereof to meet the workers’ compensation obligations of each member, in a form prescribed by the commission. In an association with public employers, several liability shall not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fidelity bond in the amount of $250,000 for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fidelity bond in the amount of $250,000 for the service company. The commissioner may also require the service company providing claim services to furnish a performance bond in a form and amount acceptable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Each association shall have within its own organization ample facilities and competent personnel to service its own program with respect to claims, administration loss prevention, loss control, safety engineering and rehabilitation services for injured employees or members’ employees or shall contract with a service company to provide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56.3(3)</w:t>
      </w:r>
      <w:r>
        <w:rPr>
          <w:rFonts w:ascii="Times New Roman" w:hAnsi="Times New Roman"/>
          <w:b w:val="false"/>
          <w:i w:val="false"/>
          <w:color w:val="000000"/>
          <w:sz w:val="22"/>
        </w:rPr>
        <w:t> </w:t>
      </w:r>
      <w:r>
        <w:rPr>
          <w:rFonts w:ascii="Times New Roman" w:hAnsi="Times New Roman"/>
          <w:b w:val="false"/>
          <w:i w:val="false"/>
          <w:color w:val="000000"/>
          <w:sz w:val="22"/>
        </w:rPr>
        <w:t xml:space="preserve">An association shall notify the commissioner of any change in the information required to be filed under </w:t>
      </w:r>
      <w:hyperlink r:id="rId19">
        <w:r>
          <w:rPr>
            <w:rStyle w:val="Hyperlink"/>
            <w:rFonts w:ascii="Times New Roman" w:hAnsi="Times New Roman"/>
            <w:b w:val="false"/>
            <w:i w:val="false"/>
            <w:color w:val="000000"/>
            <w:sz w:val="22"/>
          </w:rPr>
          <w:t>subrule 56.3(1)</w:t>
        </w:r>
      </w:hyperlink>
      <w:r>
        <w:rPr>
          <w:rFonts w:ascii="Times New Roman" w:hAnsi="Times New Roman"/>
          <w:b w:val="false"/>
          <w:i w:val="false"/>
          <w:color w:val="000000"/>
          <w:sz w:val="22"/>
        </w:rPr>
        <w:t xml:space="preserve">, or in the manner of its compliance with </w:t>
      </w:r>
      <w:hyperlink r:id="rId20">
        <w:r>
          <w:rPr>
            <w:rStyle w:val="Hyperlink"/>
            <w:rFonts w:ascii="Times New Roman" w:hAnsi="Times New Roman"/>
            <w:b w:val="false"/>
            <w:i w:val="false"/>
            <w:color w:val="000000"/>
            <w:sz w:val="22"/>
          </w:rPr>
          <w:t>subrule 56.3(2)</w:t>
        </w:r>
      </w:hyperlink>
      <w:r>
        <w:rPr>
          <w:rFonts w:ascii="Times New Roman" w:hAnsi="Times New Roman"/>
          <w:b w:val="false"/>
          <w:i w:val="false"/>
          <w:color w:val="000000"/>
          <w:sz w:val="22"/>
        </w:rPr>
        <w:t>, no later than 30 days after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evaluate the information provided by the application required to be filed under </w:t>
      </w:r>
      <w:hyperlink r:id="rId21">
        <w:r>
          <w:rPr>
            <w:rStyle w:val="Hyperlink"/>
            <w:rFonts w:ascii="Times New Roman" w:hAnsi="Times New Roman"/>
            <w:b w:val="false"/>
            <w:i w:val="false"/>
            <w:color w:val="000000"/>
            <w:sz w:val="22"/>
          </w:rPr>
          <w:t>subrule 56.3(1)</w:t>
        </w:r>
      </w:hyperlink>
      <w:r>
        <w:rPr>
          <w:rFonts w:ascii="Times New Roman" w:hAnsi="Times New Roman"/>
          <w:b w:val="false"/>
          <w:i w:val="false"/>
          <w:color w:val="000000"/>
          <w:sz w:val="22"/>
        </w:rPr>
        <w:t xml:space="preserve"> to assure that no gaps in funding exist and that funds necessary to pay workers’ compensation benefits will be available on a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56.3(5)</w:t>
      </w:r>
      <w:r>
        <w:rPr>
          <w:rFonts w:ascii="Times New Roman" w:hAnsi="Times New Roman"/>
          <w:b w:val="false"/>
          <w:i w:val="false"/>
          <w:color w:val="000000"/>
          <w:sz w:val="22"/>
        </w:rPr>
        <w:t> </w:t>
      </w:r>
      <w:r>
        <w:rPr>
          <w:rFonts w:ascii="Times New Roman" w:hAnsi="Times New Roman"/>
          <w:b w:val="false"/>
          <w:i w:val="false"/>
          <w:color w:val="000000"/>
          <w:sz w:val="22"/>
        </w:rPr>
        <w:t>After an initial review, the commissioner may require additional relevant information and additional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56.3(6)</w:t>
      </w:r>
      <w:r>
        <w:rPr>
          <w:rFonts w:ascii="Times New Roman" w:hAnsi="Times New Roman"/>
          <w:b w:val="false"/>
          <w:i w:val="false"/>
          <w:color w:val="000000"/>
          <w:sz w:val="22"/>
        </w:rPr>
        <w:t> </w:t>
      </w:r>
      <w:r>
        <w:rPr>
          <w:rFonts w:ascii="Times New Roman" w:hAnsi="Times New Roman"/>
          <w:b w:val="false"/>
          <w:i w:val="false"/>
          <w:color w:val="000000"/>
          <w:sz w:val="22"/>
        </w:rPr>
        <w:t>Within a reasonable time, the commissioner shall issue to the association a certificate of approval upon finding that the applicant association has met all requirements or the commissioner shall issue an order refusing such certificate setting forth reasons for such refusal upon finding that the applicant association does not meet all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56.3(7)</w:t>
      </w:r>
      <w:r>
        <w:rPr>
          <w:rFonts w:ascii="Times New Roman" w:hAnsi="Times New Roman"/>
          <w:b w:val="false"/>
          <w:i w:val="false"/>
          <w:color w:val="000000"/>
          <w:sz w:val="22"/>
        </w:rPr>
        <w:t> </w:t>
      </w:r>
      <w:r>
        <w:rPr>
          <w:rFonts w:ascii="Times New Roman" w:hAnsi="Times New Roman"/>
          <w:b w:val="false"/>
          <w:i w:val="false"/>
          <w:color w:val="000000"/>
          <w:sz w:val="22"/>
        </w:rPr>
        <w:t>Each workers’ compensation self-insurance association shall be deemed to have appointed the commissioner as its attorney to receive service of legal process issued against it in this state. The appointment shall be irrevocable, shall bind any successor in interest, and shall remain in effect as long as there is in this state any obligation or liability of the association for workers’ compensation benefits.</w:t>
      </w:r>
    </w:p>
    <w:p>
      <w:pPr>
        <w:spacing w:before="210" w:after="0"/>
        <w:ind w:left="120"/>
        <w:jc w:val="both"/>
      </w:pPr>
      <w:r>
        <w:rPr>
          <w:rFonts w:ascii="Times New Roman" w:hAnsi="Times New Roman"/>
          <w:b/>
          <w:i w:val="false"/>
          <w:color w:val="000000"/>
          <w:sz w:val="22"/>
        </w:rPr>
        <w:t>191—56.4</w:t>
      </w:r>
      <w:r>
        <w:rPr>
          <w:rFonts w:ascii="Times New Roman" w:hAnsi="Times New Roman"/>
          <w:b w:val="false"/>
          <w:i w:val="false"/>
          <w:color w:val="000000"/>
          <w:sz w:val="22"/>
        </w:rPr>
        <w:t>Rescinded, effective 4/27/88.</w:t>
      </w:r>
    </w:p>
    <w:p>
      <w:pPr>
        <w:spacing w:before="0" w:after="0"/>
        <w:ind w:left="120"/>
        <w:jc w:val="both"/>
      </w:pPr>
      <w:r>
        <w:rPr>
          <w:rFonts w:ascii="Times New Roman" w:hAnsi="Times New Roman"/>
          <w:b/>
          <w:i w:val="false"/>
          <w:color w:val="000000"/>
          <w:sz w:val="22"/>
        </w:rPr>
        <w:t>191—56.5</w:t>
      </w:r>
      <w:r>
        <w:rPr>
          <w:rFonts w:ascii="Times New Roman" w:hAnsi="Times New Roman"/>
          <w:b/>
          <w:i w:val="false"/>
          <w:color w:val="000000"/>
          <w:sz w:val="22"/>
        </w:rPr>
        <w:t xml:space="preserve">(87,505) </w:t>
      </w:r>
      <w:r>
        <w:rPr>
          <w:rFonts w:ascii="Times New Roman" w:hAnsi="Times New Roman"/>
          <w:b/>
          <w:i w:val="false"/>
          <w:color w:val="000000"/>
          <w:sz w:val="22"/>
        </w:rPr>
        <w:t xml:space="preserve">Excess insurance. </w:t>
      </w:r>
      <w:r>
        <w:rPr>
          <w:rFonts w:ascii="Times New Roman" w:hAnsi="Times New Roman"/>
          <w:b w:val="false"/>
          <w:i w:val="false"/>
          <w:color w:val="000000"/>
          <w:sz w:val="22"/>
        </w:rPr>
        <w:t>No contract or policy of per occurrence or aggregate excess insurance shall be recognized in considering the ability of an applicant to fulfill its financial obligations under the workers’ compensation Act, unless such contract or policy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56.5(1)</w:t>
      </w:r>
      <w:r>
        <w:rPr>
          <w:rFonts w:ascii="Times New Roman" w:hAnsi="Times New Roman"/>
          <w:b w:val="false"/>
          <w:i w:val="false"/>
          <w:color w:val="000000"/>
          <w:sz w:val="22"/>
        </w:rPr>
        <w:t> </w:t>
      </w:r>
      <w:r>
        <w:rPr>
          <w:rFonts w:ascii="Times New Roman" w:hAnsi="Times New Roman"/>
          <w:b w:val="false"/>
          <w:i w:val="false"/>
          <w:color w:val="000000"/>
          <w:sz w:val="22"/>
        </w:rPr>
        <w:t>Is issued by a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to transact casualty insurance business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Listed in the most recent NAIC publication “Financial Review of Alien Insurers” (commonly known as the white list);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Listed on the most recent List of Acceptable Non-Admitted Insurers prepared by this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56.5(2)</w:t>
      </w:r>
      <w:r>
        <w:rPr>
          <w:rFonts w:ascii="Times New Roman" w:hAnsi="Times New Roman"/>
          <w:b w:val="false"/>
          <w:i w:val="false"/>
          <w:color w:val="000000"/>
          <w:sz w:val="22"/>
        </w:rPr>
        <w:t> </w:t>
      </w:r>
      <w:r>
        <w:rPr>
          <w:rFonts w:ascii="Times New Roman" w:hAnsi="Times New Roman"/>
          <w:b w:val="false"/>
          <w:i w:val="false"/>
          <w:color w:val="000000"/>
          <w:sz w:val="22"/>
        </w:rPr>
        <w:t>Has a term of not less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56.5(3)</w:t>
      </w:r>
      <w:r>
        <w:rPr>
          <w:rFonts w:ascii="Times New Roman" w:hAnsi="Times New Roman"/>
          <w:b w:val="false"/>
          <w:i w:val="false"/>
          <w:color w:val="000000"/>
          <w:sz w:val="22"/>
        </w:rPr>
        <w:t> </w:t>
      </w:r>
      <w:r>
        <w:rPr>
          <w:rFonts w:ascii="Times New Roman" w:hAnsi="Times New Roman"/>
          <w:b w:val="false"/>
          <w:i w:val="false"/>
          <w:color w:val="000000"/>
          <w:sz w:val="22"/>
        </w:rPr>
        <w:t>No cancellation, termination or alteration of coverage whether by or at the request of the insured or by the underwriter, shall take effect prior to the expiration of 90 days after written notice of such cancellation, termination, or alteration has been filed with the commissioner unless an earlier date is approved by the commissioner.</w:t>
      </w:r>
    </w:p>
    <w:p>
      <w:pPr>
        <w:spacing w:before="0" w:after="0"/>
        <w:ind w:left="120"/>
        <w:jc w:val="both"/>
      </w:pPr>
      <w:r>
        <w:rPr>
          <w:rFonts w:ascii="Times New Roman" w:hAnsi="Times New Roman"/>
          <w:b/>
          <w:i w:val="false"/>
          <w:color w:val="000000"/>
          <w:sz w:val="22"/>
        </w:rPr>
        <w:t>191—56.6</w:t>
      </w:r>
      <w:r>
        <w:rPr>
          <w:rFonts w:ascii="Times New Roman" w:hAnsi="Times New Roman"/>
          <w:b/>
          <w:i w:val="false"/>
          <w:color w:val="000000"/>
          <w:sz w:val="22"/>
        </w:rPr>
        <w:t xml:space="preserve">(87,505) </w:t>
      </w:r>
      <w:r>
        <w:rPr>
          <w:rFonts w:ascii="Times New Roman" w:hAnsi="Times New Roman"/>
          <w:b/>
          <w:i w:val="false"/>
          <w:color w:val="000000"/>
          <w:sz w:val="22"/>
        </w:rPr>
        <w:t xml:space="preserve">Rates and reporting of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56.6(1)</w:t>
      </w:r>
      <w:r>
        <w:rPr>
          <w:rFonts w:ascii="Times New Roman" w:hAnsi="Times New Roman"/>
          <w:b w:val="false"/>
          <w:i w:val="false"/>
          <w:color w:val="000000"/>
          <w:sz w:val="22"/>
        </w:rPr>
        <w:t> </w:t>
      </w:r>
      <w:r>
        <w:rPr>
          <w:rFonts w:ascii="Times New Roman" w:hAnsi="Times New Roman"/>
          <w:b w:val="false"/>
          <w:i w:val="false"/>
          <w:color w:val="000000"/>
          <w:sz w:val="22"/>
        </w:rPr>
        <w:t>Every workers’ compensation self-insurance association shall adhere to the uniform classification system, uniform experience rating plan, and manual rules filed with the commissioner by an advisory organization designated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56.6(2)</w:t>
      </w:r>
      <w:r>
        <w:rPr>
          <w:rFonts w:ascii="Times New Roman" w:hAnsi="Times New Roman"/>
          <w:b w:val="false"/>
          <w:i w:val="false"/>
          <w:color w:val="000000"/>
          <w:sz w:val="22"/>
        </w:rPr>
        <w:t> </w:t>
      </w:r>
      <w:r>
        <w:rPr>
          <w:rFonts w:ascii="Times New Roman" w:hAnsi="Times New Roman"/>
          <w:b w:val="false"/>
          <w:i w:val="false"/>
          <w:color w:val="000000"/>
          <w:sz w:val="22"/>
        </w:rPr>
        <w:t>Premium contributions to the association shall be determined by applying the manual rates and rules to the appropriate classification of each member which shall be adjusted by each member’s experience credit or debit. Subject to approval by the commissioner, premium contributions may also be reduced by an advance premium discount reflecting the association’s expense levels and loss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22">
        <w:r>
          <w:rPr>
            <w:rStyle w:val="Hyperlink"/>
            <w:rFonts w:ascii="Times New Roman" w:hAnsi="Times New Roman"/>
            <w:b w:val="false"/>
            <w:i w:val="false"/>
            <w:color w:val="000000"/>
            <w:sz w:val="22"/>
          </w:rPr>
          <w:t>subrule 56.6(2)</w:t>
        </w:r>
      </w:hyperlink>
      <w:r>
        <w:rPr>
          <w:rFonts w:ascii="Times New Roman" w:hAnsi="Times New Roman"/>
          <w:b w:val="false"/>
          <w:i w:val="false"/>
          <w:color w:val="000000"/>
          <w:sz w:val="22"/>
        </w:rPr>
        <w:t>, an association may apply to the commissioner for permission to make its own rates. Such rates shall be based on at least five years of the association’s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56.6(4)</w:t>
      </w:r>
      <w:r>
        <w:rPr>
          <w:rFonts w:ascii="Times New Roman" w:hAnsi="Times New Roman"/>
          <w:b w:val="false"/>
          <w:i w:val="false"/>
          <w:color w:val="000000"/>
          <w:sz w:val="22"/>
        </w:rPr>
        <w:t> </w:t>
      </w:r>
      <w:r>
        <w:rPr>
          <w:rFonts w:ascii="Times New Roman" w:hAnsi="Times New Roman"/>
          <w:b w:val="false"/>
          <w:i w:val="false"/>
          <w:color w:val="000000"/>
          <w:sz w:val="22"/>
        </w:rPr>
        <w:t>Each association shall have its members audited at least annually by an auditor acceptable to the commissioner to verify proper classifications, experience rating, payroll and rates. For small accounts, members may be audited by use of a mailed questionnaire. A report of the audit shall be filed with the commissioner in a form acceptable to the commissioner.</w:t>
      </w:r>
    </w:p>
    <w:p>
      <w:pPr>
        <w:spacing w:before="0" w:after="0"/>
        <w:ind w:left="120"/>
        <w:jc w:val="both"/>
      </w:pPr>
      <w:r>
        <w:rPr>
          <w:rFonts w:ascii="Times New Roman" w:hAnsi="Times New Roman"/>
          <w:b w:val="false"/>
          <w:i w:val="false"/>
          <w:color w:val="000000"/>
          <w:sz w:val="22"/>
        </w:rPr>
        <w:t>The audit shall be at the expense of the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56.6(5)</w:t>
      </w:r>
      <w:r>
        <w:rPr>
          <w:rFonts w:ascii="Times New Roman" w:hAnsi="Times New Roman"/>
          <w:b w:val="false"/>
          <w:i w:val="false"/>
          <w:color w:val="000000"/>
          <w:sz w:val="22"/>
        </w:rPr>
        <w:t> </w:t>
      </w:r>
      <w:r>
        <w:rPr>
          <w:rFonts w:ascii="Times New Roman" w:hAnsi="Times New Roman"/>
          <w:b w:val="false"/>
          <w:i w:val="false"/>
          <w:color w:val="000000"/>
          <w:sz w:val="22"/>
        </w:rPr>
        <w:t>The rates approved by the commissioner for approved associations prior to the effective date of these rules may remain in effect should the association so choose.</w:t>
      </w:r>
    </w:p>
    <w:p>
      <w:pPr>
        <w:spacing w:before="0" w:after="0"/>
        <w:ind w:left="120"/>
        <w:jc w:val="both"/>
      </w:pPr>
      <w:r>
        <w:rPr>
          <w:rFonts w:ascii="Times New Roman" w:hAnsi="Times New Roman"/>
          <w:b/>
          <w:i w:val="false"/>
          <w:color w:val="000000"/>
          <w:sz w:val="22"/>
        </w:rPr>
        <w:t>191—56.7</w:t>
      </w:r>
      <w:r>
        <w:rPr>
          <w:rFonts w:ascii="Times New Roman" w:hAnsi="Times New Roman"/>
          <w:b/>
          <w:i w:val="false"/>
          <w:color w:val="000000"/>
          <w:sz w:val="22"/>
        </w:rPr>
        <w:t xml:space="preserve">(87,505) </w:t>
      </w:r>
      <w:r>
        <w:rPr>
          <w:rFonts w:ascii="Times New Roman" w:hAnsi="Times New Roman"/>
          <w:b/>
          <w:i w:val="false"/>
          <w:color w:val="000000"/>
          <w:sz w:val="22"/>
        </w:rPr>
        <w:t xml:space="preserve">Special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56.7(1)</w:t>
      </w:r>
      <w:r>
        <w:rPr>
          <w:rFonts w:ascii="Times New Roman" w:hAnsi="Times New Roman"/>
          <w:b w:val="false"/>
          <w:i w:val="false"/>
          <w:color w:val="000000"/>
          <w:sz w:val="22"/>
        </w:rPr>
        <w:t> </w:t>
      </w:r>
      <w:r>
        <w:rPr>
          <w:rFonts w:ascii="Times New Roman" w:hAnsi="Times New Roman"/>
          <w:b w:val="false"/>
          <w:i w:val="false"/>
          <w:color w:val="000000"/>
          <w:sz w:val="22"/>
        </w:rPr>
        <w:t>If the association fails to pay workers’ compensation benefits when due, the commissioner may appoint a party to receive funds from excess insurance or the surety bond, or both, to be disbursed to individual claimants.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56.7(2)</w:t>
      </w:r>
      <w:r>
        <w:rPr>
          <w:rFonts w:ascii="Times New Roman" w:hAnsi="Times New Roman"/>
          <w:b w:val="false"/>
          <w:i w:val="false"/>
          <w:color w:val="000000"/>
          <w:sz w:val="22"/>
        </w:rPr>
        <w:t> </w:t>
      </w:r>
      <w:r>
        <w:rPr>
          <w:rFonts w:ascii="Times New Roman" w:hAnsi="Times New Roman"/>
          <w:b w:val="false"/>
          <w:i w:val="false"/>
          <w:color w:val="000000"/>
          <w:sz w:val="22"/>
        </w:rPr>
        <w:t>The association shall notify the industrial commissioner of all fatalities within ten days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56.7(3)</w:t>
      </w:r>
      <w:r>
        <w:rPr>
          <w:rFonts w:ascii="Times New Roman" w:hAnsi="Times New Roman"/>
          <w:b w:val="false"/>
          <w:i w:val="false"/>
          <w:color w:val="000000"/>
          <w:sz w:val="22"/>
        </w:rPr>
        <w:t> </w:t>
      </w:r>
      <w:r>
        <w:rPr>
          <w:rFonts w:ascii="Times New Roman" w:hAnsi="Times New Roman"/>
          <w:b w:val="false"/>
          <w:i w:val="false"/>
          <w:color w:val="000000"/>
          <w:sz w:val="22"/>
        </w:rPr>
        <w:t>Statutory benefits, and any fees or assessments by the industrial commissioner of Iowa are to be paid by the association for its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56.7(4)</w:t>
      </w:r>
      <w:r>
        <w:rPr>
          <w:rFonts w:ascii="Times New Roman" w:hAnsi="Times New Roman"/>
          <w:b w:val="false"/>
          <w:i w:val="false"/>
          <w:color w:val="000000"/>
          <w:sz w:val="22"/>
        </w:rPr>
        <w:t> </w:t>
      </w:r>
      <w:r>
        <w:rPr>
          <w:rFonts w:ascii="Times New Roman" w:hAnsi="Times New Roman"/>
          <w:b w:val="false"/>
          <w:i w:val="false"/>
          <w:color w:val="000000"/>
          <w:sz w:val="22"/>
        </w:rPr>
        <w:t>Loss reserves reported to the commissioner shall not be discounted with respect to investment income. Loss reserves shall only be discounted for remarriage or mortality, or both. If the loss reserves of an association are found to be unreasonably low, the commissioner can require the reserves to be certified annually by an actuary who is a reserve specialist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56.7(5)</w:t>
      </w:r>
      <w:r>
        <w:rPr>
          <w:rFonts w:ascii="Times New Roman" w:hAnsi="Times New Roman"/>
          <w:b w:val="false"/>
          <w:i w:val="false"/>
          <w:color w:val="000000"/>
          <w:sz w:val="22"/>
        </w:rPr>
        <w:t> </w:t>
      </w:r>
      <w:r>
        <w:rPr>
          <w:rFonts w:ascii="Times New Roman" w:hAnsi="Times New Roman"/>
          <w:b w:val="false"/>
          <w:i w:val="false"/>
          <w:color w:val="000000"/>
          <w:sz w:val="22"/>
        </w:rPr>
        <w:t>Assessment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of a deficit in any fiscal year, the deficit shall be immediately made up from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Unencumbered surplus from any fiscal year other than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Moneys not allocated to pay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Retained investment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of the membership if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By such alternative method as the commissioner may order or approve.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Liability for assessments will be joint and several. Except public employers will only be jointly liable.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56.7(6)</w:t>
      </w:r>
      <w:r>
        <w:rPr>
          <w:rFonts w:ascii="Times New Roman" w:hAnsi="Times New Roman"/>
          <w:b w:val="false"/>
          <w:i w:val="false"/>
          <w:color w:val="000000"/>
          <w:sz w:val="22"/>
        </w:rPr>
        <w:t> </w:t>
      </w:r>
      <w:r>
        <w:rPr>
          <w:rFonts w:ascii="Times New Roman" w:hAnsi="Times New Roman"/>
          <w:b w:val="false"/>
          <w:i w:val="false"/>
          <w:color w:val="000000"/>
          <w:sz w:val="22"/>
        </w:rPr>
        <w:t>All advertising and solicitation materials must be filed with the commissioner prior to their use.</w:t>
      </w:r>
    </w:p>
    <w:p>
      <w:pPr>
        <w:spacing w:before="0" w:after="0"/>
        <w:ind w:left="120"/>
        <w:jc w:val="both"/>
      </w:pPr>
      <w:r>
        <w:rPr>
          <w:rFonts w:ascii="Times New Roman" w:hAnsi="Times New Roman"/>
          <w:b/>
          <w:i w:val="false"/>
          <w:color w:val="000000"/>
          <w:sz w:val="22"/>
        </w:rPr>
        <w:t>191—56.8</w:t>
      </w:r>
      <w:r>
        <w:rPr>
          <w:rFonts w:ascii="Times New Roman" w:hAnsi="Times New Roman"/>
          <w:b/>
          <w:i w:val="false"/>
          <w:color w:val="000000"/>
          <w:sz w:val="22"/>
        </w:rPr>
        <w:t xml:space="preserve">(87,505) </w:t>
      </w:r>
      <w:r>
        <w:rPr>
          <w:rFonts w:ascii="Times New Roman" w:hAnsi="Times New Roman"/>
          <w:b/>
          <w:i w:val="false"/>
          <w:color w:val="000000"/>
          <w:sz w:val="22"/>
        </w:rPr>
        <w:t xml:space="preserve">Certificate of approval; 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56.8(1)</w:t>
      </w:r>
      <w:r>
        <w:rPr>
          <w:rFonts w:ascii="Times New Roman" w:hAnsi="Times New Roman"/>
          <w:b w:val="false"/>
          <w:i w:val="false"/>
          <w:color w:val="000000"/>
          <w:sz w:val="22"/>
        </w:rPr>
        <w:t> </w:t>
      </w:r>
      <w:r>
        <w:rPr>
          <w:rFonts w:ascii="Times New Roman" w:hAnsi="Times New Roman"/>
          <w:b w:val="false"/>
          <w:i w:val="false"/>
          <w:color w:val="000000"/>
          <w:sz w:val="22"/>
        </w:rPr>
        <w:t>The certificate of approval issued by the commissioner to a workers’ compensation self-insurance association authorizes the association to provide workers’ compensation benefits. The certificate of approval remains in effect until terminated at the request of the association or revoked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56.8(2)</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 grant the request of any association to terminate its certificate of approval unless the association has insured or reinsured all incurred workers’ compensation obligations with an authorized insurer under an agreement filed with and approved in writing by the commissioner. Such obligations shall include both known claims and expenses associated therewith and claims incurred but not reported and expenses associated therewith. Subject to the approval of the commissioner, an association may merge with another association engaged in the same or similar type of business only if the resulting association assumes in full all obligations of the merging associations. The commissioner shall hold a hearing on the merger if any party, including a member of either association, so requests.</w:t>
      </w:r>
    </w:p>
    <w:p>
      <w:pPr>
        <w:spacing w:before="210" w:after="0"/>
        <w:ind w:left="120"/>
        <w:jc w:val="both"/>
      </w:pPr>
      <w:r>
        <w:rPr>
          <w:rFonts w:ascii="Times New Roman" w:hAnsi="Times New Roman"/>
          <w:b/>
          <w:i w:val="false"/>
          <w:color w:val="000000"/>
          <w:sz w:val="22"/>
        </w:rPr>
        <w:t>191—56.9</w:t>
      </w:r>
      <w:r>
        <w:rPr>
          <w:rFonts w:ascii="Times New Roman" w:hAnsi="Times New Roman"/>
          <w:b/>
          <w:i w:val="false"/>
          <w:color w:val="000000"/>
          <w:sz w:val="22"/>
        </w:rPr>
        <w:t xml:space="preserve">(87,505) </w:t>
      </w:r>
      <w:r>
        <w:rPr>
          <w:rFonts w:ascii="Times New Roman" w:hAnsi="Times New Roman"/>
          <w:b/>
          <w:i w:val="false"/>
          <w:color w:val="000000"/>
          <w:sz w:val="22"/>
        </w:rPr>
        <w:t xml:space="preserve">Examinations. </w:t>
      </w:r>
      <w:r>
        <w:rPr>
          <w:rFonts w:ascii="Times New Roman" w:hAnsi="Times New Roman"/>
          <w:b w:val="false"/>
          <w:i w:val="false"/>
          <w:color w:val="000000"/>
          <w:sz w:val="22"/>
        </w:rPr>
        <w:t>The commissioner shall examine the affairs, transactions, accounts, records and assets of each association as often as the commissioner deems advisable. The expense of such examinations shall be assessed against the association in the same manner that insurers are assessed for examinations.</w:t>
      </w:r>
    </w:p>
    <w:p>
      <w:pPr>
        <w:spacing w:before="0" w:after="0"/>
        <w:ind w:left="120"/>
        <w:jc w:val="both"/>
      </w:pPr>
      <w:r>
        <w:rPr>
          <w:rFonts w:ascii="Times New Roman" w:hAnsi="Times New Roman"/>
          <w:b/>
          <w:i w:val="false"/>
          <w:color w:val="000000"/>
          <w:sz w:val="22"/>
        </w:rPr>
        <w:t>191—56.10</w:t>
      </w:r>
      <w:r>
        <w:rPr>
          <w:rFonts w:ascii="Times New Roman" w:hAnsi="Times New Roman"/>
          <w:b/>
          <w:i w:val="false"/>
          <w:color w:val="000000"/>
          <w:sz w:val="22"/>
        </w:rPr>
        <w:t xml:space="preserve">(87,505) </w:t>
      </w:r>
      <w:r>
        <w:rPr>
          <w:rFonts w:ascii="Times New Roman" w:hAnsi="Times New Roman"/>
          <w:b/>
          <w:i w:val="false"/>
          <w:color w:val="000000"/>
          <w:sz w:val="22"/>
        </w:rPr>
        <w:t xml:space="preserve">Board of trustees—membership, powers, duties, and prohibitions. </w:t>
      </w:r>
      <w:r>
        <w:rPr>
          <w:rFonts w:ascii="Times New Roman" w:hAnsi="Times New Roman"/>
          <w:b w:val="false"/>
          <w:i w:val="false"/>
          <w:color w:val="000000"/>
          <w:sz w:val="22"/>
        </w:rPr>
        <w:t>Each association shall be operated by a board of trustees which shall consist of not less than five persons whom the board of directors of the parent association may appoint or members of an association may elect for stated terms of office. At least two-thirds of the trustees shall be employees, officers, or directors of members of the association. The association’s administrator, service company, or any owner, officer, employee of, or any other person affiliated with, such administrator or service company shall not serve on the board of trustees of the association. All trustees shall be residents of this state or officers of corporations authorized to do business in this state. The board of trustees of each association shall ensure that all claims are paid promptly and take all necessary precautions to safeguard the assets of the association, including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56.10(1)</w:t>
      </w:r>
      <w:r>
        <w:rPr>
          <w:rFonts w:ascii="Times New Roman" w:hAnsi="Times New Roman"/>
          <w:b w:val="false"/>
          <w:i w:val="false"/>
          <w:color w:val="000000"/>
          <w:sz w:val="22"/>
        </w:rPr>
        <w:t> </w:t>
      </w:r>
      <w:r>
        <w:rPr>
          <w:rFonts w:ascii="Times New Roman" w:hAnsi="Times New Roman"/>
          <w:b w:val="false"/>
          <w:i w:val="false"/>
          <w:color w:val="000000"/>
          <w:sz w:val="22"/>
        </w:rPr>
        <w:t>The board of trustees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responsibility for all moneys collected or disbursed from the association and segregate all moneys into a claims fund account and an administrative fund account. At least 70 percent of the net premium shall be placed into a designated depository for the sole purpose of paying claims, allocated claims expenses, reinsurance or excess insurance, and special fund contributions. This shall be called the claims fund account. The remaining net premium shall be placed into a designated depository for the payment of taxes, general regulatory fees and assessments, and administrative costs. This shall be called the administrative fund account. The commissioner may approve an administrative fund account of more than 30 percent and a claims fund account of less than 70 percent only if the association shows to the commissioner’s satisfaction that more than 30 percent is needed for an effective safety and loss control program, or the association’s aggregate excess insurance attaches at less than 70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minutes of its meetings and make such minutes available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Designate an administrator to carry out the policies established by the board of trustees and to provide day-to-day management of the association, and delineate in the written minutes of its meetings the areas of authority it delegates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 an independent certified public accountant to prepare the statement of financial condition required by subsection </w:t>
      </w:r>
      <w:hyperlink r:id="rId23">
        <w:r>
          <w:rPr>
            <w:rStyle w:val="Hyperlink"/>
            <w:rFonts w:ascii="Times New Roman" w:hAnsi="Times New Roman"/>
            <w:b w:val="false"/>
            <w:i w:val="false"/>
            <w:color w:val="000000"/>
            <w:sz w:val="22"/>
          </w:rPr>
          <w:t>56.13(2)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56.10(2)</w:t>
      </w:r>
      <w:r>
        <w:rPr>
          <w:rFonts w:ascii="Times New Roman" w:hAnsi="Times New Roman"/>
          <w:b w:val="false"/>
          <w:i w:val="false"/>
          <w:color w:val="000000"/>
          <w:sz w:val="22"/>
        </w:rPr>
        <w:t> </w:t>
      </w:r>
      <w:r>
        <w:rPr>
          <w:rFonts w:ascii="Times New Roman" w:hAnsi="Times New Roman"/>
          <w:b w:val="false"/>
          <w:i w:val="false"/>
          <w:color w:val="000000"/>
          <w:sz w:val="22"/>
        </w:rPr>
        <w:t>The board of trustees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Extend credit to individual members for payment of a premium, except pursuant to payment plans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Borrow any moneys from the association or in the name of the association except in the ordinary course of business, without first advising the commissioner of the nature and purpose of the loan and obtaining prior approval from the commissioner.</w:t>
      </w:r>
    </w:p>
    <w:p>
      <w:pPr>
        <w:spacing w:before="0" w:after="0"/>
        <w:ind w:left="120"/>
        <w:jc w:val="both"/>
      </w:pPr>
      <w:r>
        <w:rPr>
          <w:rFonts w:ascii="Times New Roman" w:hAnsi="Times New Roman"/>
          <w:b/>
          <w:i w:val="false"/>
          <w:color w:val="000000"/>
          <w:sz w:val="22"/>
        </w:rPr>
        <w:t>191—56.11</w:t>
      </w:r>
      <w:r>
        <w:rPr>
          <w:rFonts w:ascii="Times New Roman" w:hAnsi="Times New Roman"/>
          <w:b/>
          <w:i w:val="false"/>
          <w:color w:val="000000"/>
          <w:sz w:val="22"/>
        </w:rPr>
        <w:t xml:space="preserve">(87,505) </w:t>
      </w:r>
      <w:r>
        <w:rPr>
          <w:rFonts w:ascii="Times New Roman" w:hAnsi="Times New Roman"/>
          <w:b/>
          <w:i w:val="false"/>
          <w:color w:val="000000"/>
          <w:sz w:val="22"/>
        </w:rPr>
        <w:t xml:space="preserve">Association membership; termination;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56.11(1)</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joining a workers’ compensation self-insurance association after the association has been issued a certificate of approval shall (1) submit an application for membership to the board of trustees or its administrator and (2) enter into the indemnity agreement required by </w:t>
      </w:r>
      <w:hyperlink r:id="rId24">
        <w:r>
          <w:rPr>
            <w:rStyle w:val="Hyperlink"/>
            <w:rFonts w:ascii="Times New Roman" w:hAnsi="Times New Roman"/>
            <w:b w:val="false"/>
            <w:i w:val="false"/>
            <w:color w:val="000000"/>
            <w:sz w:val="22"/>
          </w:rPr>
          <w:t>subrule 56.3(2)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“f.” </w:t>
      </w:r>
      <w:r>
        <w:rPr>
          <w:rFonts w:ascii="Times New Roman" w:hAnsi="Times New Roman"/>
          <w:b w:val="false"/>
          <w:i w:val="false"/>
          <w:color w:val="000000"/>
          <w:sz w:val="22"/>
        </w:rPr>
        <w:t>Membership takes effect no earlier than each member’s date of approval. The application for membership and its approval shall be maintained as permanent records of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56.11(2)</w:t>
      </w:r>
      <w:r>
        <w:rPr>
          <w:rFonts w:ascii="Times New Roman" w:hAnsi="Times New Roman"/>
          <w:b w:val="false"/>
          <w:i w:val="false"/>
          <w:color w:val="000000"/>
          <w:sz w:val="22"/>
        </w:rPr>
        <w:t> </w:t>
      </w:r>
      <w:r>
        <w:rPr>
          <w:rFonts w:ascii="Times New Roman" w:hAnsi="Times New Roman"/>
          <w:b w:val="false"/>
          <w:i w:val="false"/>
          <w:color w:val="000000"/>
          <w:sz w:val="22"/>
        </w:rPr>
        <w:t>Individual members of an association shall be subject to cancellation by the association pursuant to the bylaws of the association. In addition, individual members may elect to terminate their participation in the association. The association shall maintain coverage of each canceled or terminated member for 30 days after notice is given to association members. The association shall also promptly notify the commissioner and the industrial commissioner of the termination or cancellation of a member unless the association is notified sooner by the workers’ compensation agency that the canceled or terminated member has procured workers’ compensation insurance, has become an approved self-insurer, or has become a member of another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56.11(3)</w:t>
      </w:r>
      <w:r>
        <w:rPr>
          <w:rFonts w:ascii="Times New Roman" w:hAnsi="Times New Roman"/>
          <w:b w:val="false"/>
          <w:i w:val="false"/>
          <w:color w:val="000000"/>
          <w:sz w:val="22"/>
        </w:rPr>
        <w:t> </w:t>
      </w:r>
      <w:r>
        <w:rPr>
          <w:rFonts w:ascii="Times New Roman" w:hAnsi="Times New Roman"/>
          <w:b w:val="false"/>
          <w:i w:val="false"/>
          <w:color w:val="000000"/>
          <w:sz w:val="22"/>
        </w:rPr>
        <w:t>The association shall pay all workers’ compensation benefits for which each member incurs liability during its period of membership. A member who elects to terminate its membership or is canceled by an association remains jointly and severally liable, for a public member, jointly liable only, for workers’ compensation obligations of the association and its members which were incurred during the canceled or terminated member’s period of membership.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56.11(4)</w:t>
      </w:r>
      <w:r>
        <w:rPr>
          <w:rFonts w:ascii="Times New Roman" w:hAnsi="Times New Roman"/>
          <w:b w:val="false"/>
          <w:i w:val="false"/>
          <w:color w:val="000000"/>
          <w:sz w:val="22"/>
        </w:rPr>
        <w:t> </w:t>
      </w:r>
      <w:r>
        <w:rPr>
          <w:rFonts w:ascii="Times New Roman" w:hAnsi="Times New Roman"/>
          <w:b w:val="false"/>
          <w:i w:val="false"/>
          <w:color w:val="000000"/>
          <w:sz w:val="22"/>
        </w:rPr>
        <w:t>An association member is not relieved of its workers’ compensation liabilities incurred during its period of membership except through payment by the association or the member of required workers’ compensation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56.11(5)</w:t>
      </w:r>
      <w:r>
        <w:rPr>
          <w:rFonts w:ascii="Times New Roman" w:hAnsi="Times New Roman"/>
          <w:b w:val="false"/>
          <w:i w:val="false"/>
          <w:color w:val="000000"/>
          <w:sz w:val="22"/>
        </w:rPr>
        <w:t> </w:t>
      </w:r>
      <w:r>
        <w:rPr>
          <w:rFonts w:ascii="Times New Roman" w:hAnsi="Times New Roman"/>
          <w:b w:val="false"/>
          <w:i w:val="false"/>
          <w:color w:val="000000"/>
          <w:sz w:val="22"/>
        </w:rPr>
        <w:t>The insolvency or bankruptcy of a member does not relieve the association or any other member of liability for the payment of any workers’ compensation benefits incurred during the insolvent or bankrupt member’s period of membership.</w:t>
      </w:r>
    </w:p>
    <w:p>
      <w:pPr>
        <w:spacing w:before="0" w:after="0"/>
        <w:ind w:left="120"/>
        <w:jc w:val="both"/>
      </w:pPr>
      <w:r>
        <w:rPr>
          <w:rFonts w:ascii="Times New Roman" w:hAnsi="Times New Roman"/>
          <w:b/>
          <w:i w:val="false"/>
          <w:color w:val="000000"/>
          <w:sz w:val="22"/>
        </w:rPr>
        <w:t>191—56.12</w:t>
      </w:r>
      <w:r>
        <w:rPr>
          <w:rFonts w:ascii="Times New Roman" w:hAnsi="Times New Roman"/>
          <w:b/>
          <w:i w:val="false"/>
          <w:color w:val="000000"/>
          <w:sz w:val="22"/>
        </w:rPr>
        <w:t xml:space="preserve">(87,505) </w:t>
      </w:r>
      <w:r>
        <w:rPr>
          <w:rFonts w:ascii="Times New Roman" w:hAnsi="Times New Roman"/>
          <w:b/>
          <w:i w:val="false"/>
          <w:color w:val="000000"/>
          <w:sz w:val="22"/>
        </w:rPr>
        <w:t xml:space="preserve">Requirements of sales agents.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56.12(1)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who performs any sales or promotional function for the association, deals with the rates or claims, or makes representations about the available coverage is a “person” within the meaning of Iowa Code chapter </w:t>
      </w:r>
      <w:hyperlink r:id="rId25">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must be of good character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56.12(2)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insurance agent qualifies under subrule </w:t>
      </w:r>
      <w:hyperlink r:id="rId26">
        <w:r>
          <w:rPr>
            <w:rStyle w:val="Hyperlink"/>
            <w:rFonts w:ascii="Times New Roman" w:hAnsi="Times New Roman"/>
            <w:b w:val="false"/>
            <w:i w:val="false"/>
            <w:color w:val="000000"/>
            <w:sz w:val="22"/>
          </w:rPr>
          <w:t>56.12(1)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trustees must annually file for approval a list of the names, addresses, and backgrounds of all persons to which subrule </w:t>
      </w:r>
      <w:hyperlink r:id="rId27">
        <w:r>
          <w:rPr>
            <w:rStyle w:val="Hyperlink"/>
            <w:rFonts w:ascii="Times New Roman" w:hAnsi="Times New Roman"/>
            <w:b w:val="false"/>
            <w:i w:val="false"/>
            <w:color w:val="000000"/>
            <w:sz w:val="22"/>
          </w:rPr>
          <w:t>56.12(1)</w:t>
        </w:r>
      </w:hyperlink>
      <w:r>
        <w:rPr>
          <w:rFonts w:ascii="Times New Roman" w:hAnsi="Times New Roman"/>
          <w:b w:val="false"/>
          <w:i w:val="false"/>
          <w:color w:val="000000"/>
          <w:sz w:val="22"/>
        </w:rPr>
        <w:t xml:space="preserve"> applies. In the case of licensed insurance agents, the name and social security number is sufficient.</w:t>
      </w:r>
    </w:p>
    <w:p>
      <w:pPr>
        <w:spacing w:before="0" w:after="0"/>
        <w:ind w:left="120"/>
        <w:jc w:val="both"/>
      </w:pPr>
      <w:r>
        <w:rPr>
          <w:rFonts w:ascii="Times New Roman" w:hAnsi="Times New Roman"/>
          <w:b/>
          <w:i w:val="false"/>
          <w:color w:val="000000"/>
          <w:sz w:val="22"/>
        </w:rPr>
        <w:t>191—56.13</w:t>
      </w:r>
      <w:r>
        <w:rPr>
          <w:rFonts w:ascii="Times New Roman" w:hAnsi="Times New Roman"/>
          <w:b/>
          <w:i w:val="false"/>
          <w:color w:val="000000"/>
          <w:sz w:val="22"/>
        </w:rPr>
        <w:t xml:space="preserve">(87,505) </w:t>
      </w:r>
      <w:r>
        <w:rPr>
          <w:rFonts w:ascii="Times New Roman" w:hAnsi="Times New Roman"/>
          <w:b/>
          <w:i w:val="false"/>
          <w:color w:val="000000"/>
          <w:sz w:val="22"/>
        </w:rPr>
        <w:t xml:space="preserve">Requirements for continued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56.13(1)</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relief from insurance is continuously valid, subject to the annual filing requirements of </w:t>
      </w:r>
      <w:hyperlink r:id="rId28">
        <w:r>
          <w:rPr>
            <w:rStyle w:val="Hyperlink"/>
            <w:rFonts w:ascii="Times New Roman" w:hAnsi="Times New Roman"/>
            <w:b w:val="false"/>
            <w:i w:val="false"/>
            <w:color w:val="000000"/>
            <w:sz w:val="22"/>
          </w:rPr>
          <w:t>56.13(2)</w:t>
        </w:r>
      </w:hyperlink>
      <w:r>
        <w:rPr>
          <w:rFonts w:ascii="Times New Roman" w:hAnsi="Times New Roman"/>
          <w:b w:val="false"/>
          <w:i w:val="false"/>
          <w:color w:val="000000"/>
          <w:sz w:val="22"/>
        </w:rPr>
        <w:t xml:space="preserve">, and the annual processing fee of $100. However, the certificate may be revoked under the provisions of rule </w:t>
      </w:r>
      <w:hyperlink r:id="rId29">
        <w:r>
          <w:rPr>
            <w:rStyle w:val="Hyperlink"/>
            <w:rFonts w:ascii="Times New Roman" w:hAnsi="Times New Roman"/>
            <w:b w:val="false"/>
            <w:i w:val="false"/>
            <w:color w:val="000000"/>
            <w:sz w:val="22"/>
          </w:rPr>
          <w:t>56.19</w:t>
        </w:r>
      </w:hyperlink>
      <w:r>
        <w:rPr>
          <w:rFonts w:ascii="Times New Roman" w:hAnsi="Times New Roman"/>
          <w:b w:val="false"/>
          <w:i w:val="false"/>
          <w:color w:val="000000"/>
          <w:sz w:val="22"/>
        </w:rPr>
        <w:t>(87,505).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56.13(2)</w:t>
      </w:r>
      <w:r>
        <w:rPr>
          <w:rFonts w:ascii="Times New Roman" w:hAnsi="Times New Roman"/>
          <w:b w:val="false"/>
          <w:i w:val="false"/>
          <w:color w:val="000000"/>
          <w:sz w:val="22"/>
        </w:rPr>
        <w:t> </w:t>
      </w:r>
      <w:r>
        <w:rPr>
          <w:rFonts w:ascii="Times New Roman" w:hAnsi="Times New Roman"/>
          <w:b w:val="false"/>
          <w:i w:val="false"/>
          <w:color w:val="000000"/>
          <w:sz w:val="22"/>
        </w:rPr>
        <w:t>By March 1 of each year, each mutual association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financial condition audited by an independent certified public accountant on or before the last day of the second month following the end of the calendar year. The financial statement shall be on a form prescribed by the commissioner and shall include, but not be limited to, actuarially appropriate reserves for (1) known claims and expenses associated therewith, (2) claims incurred but not reported and expenses associated therewith, (3) unearned premiums, and (4) bad debts, which reserves shall be shown as liabilities. An actuarial opinion regarding reserves for items (1) and (2) above shall be included in the audited financial statement. The actuarial opinion shall be given by a member of the American Academy of Actuaries or other qualified loss reserve specialist as defined in the annual statement adopted by the National Association of Insurance Commissioners.</w:t>
      </w:r>
    </w:p>
    <w:p>
      <w:pPr>
        <w:spacing w:before="0" w:after="0"/>
        <w:ind w:left="120"/>
        <w:jc w:val="both"/>
      </w:pPr>
      <w:r>
        <w:rPr>
          <w:rFonts w:ascii="Times New Roman" w:hAnsi="Times New Roman"/>
          <w:b w:val="false"/>
          <w:i w:val="false"/>
          <w:color w:val="000000"/>
          <w:sz w:val="22"/>
        </w:rPr>
        <w:t>The commissioner may prescribe a uniform accounting system for all associations to ensure the accurate and complete reporting of associations’ financial information.</w:t>
      </w:r>
    </w:p>
    <w:p>
      <w:pPr>
        <w:spacing w:before="0" w:after="0"/>
        <w:ind w:left="120"/>
        <w:jc w:val="both"/>
      </w:pPr>
      <w:r>
        <w:rPr>
          <w:rFonts w:ascii="Times New Roman" w:hAnsi="Times New Roman"/>
          <w:b w:val="false"/>
          <w:i w:val="false"/>
          <w:color w:val="000000"/>
          <w:sz w:val="22"/>
        </w:rPr>
        <w:t>Any premium or assessment amount that is not paid within three months of the due date shall be assumed uncollectible for financial statement purposes and in considering the amount of assessments and dividends.</w:t>
      </w:r>
    </w:p>
    <w:p>
      <w:pPr>
        <w:spacing w:before="0" w:after="0"/>
        <w:ind w:left="120"/>
        <w:jc w:val="both"/>
      </w:pPr>
      <w:r>
        <w:rPr>
          <w:rFonts w:ascii="Times New Roman" w:hAnsi="Times New Roman"/>
          <w:b w:val="false"/>
          <w:i w:val="false"/>
          <w:color w:val="000000"/>
          <w:sz w:val="22"/>
        </w:rPr>
        <w:t>The association shall keep all records and worksheets used to complete the financial statement for at least five years, unless the division permits a shorter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excess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additional relevant information required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required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56.13(3)</w:t>
      </w:r>
      <w:r>
        <w:rPr>
          <w:rFonts w:ascii="Times New Roman" w:hAnsi="Times New Roman"/>
          <w:b w:val="false"/>
          <w:i w:val="false"/>
          <w:color w:val="000000"/>
          <w:sz w:val="22"/>
        </w:rPr>
        <w:t> </w:t>
      </w:r>
      <w:r>
        <w:rPr>
          <w:rFonts w:ascii="Times New Roman" w:hAnsi="Times New Roman"/>
          <w:b w:val="false"/>
          <w:i w:val="false"/>
          <w:color w:val="000000"/>
          <w:sz w:val="22"/>
        </w:rPr>
        <w:t>The division reserves the right to require quarterly financial reporting if warranted by the loss experience.</w:t>
      </w:r>
    </w:p>
    <w:p>
      <w:pPr>
        <w:spacing w:before="210" w:after="0"/>
        <w:ind w:left="120"/>
        <w:jc w:val="both"/>
      </w:pPr>
      <w:r>
        <w:rPr>
          <w:rFonts w:ascii="Times New Roman" w:hAnsi="Times New Roman"/>
          <w:b/>
          <w:i w:val="false"/>
          <w:color w:val="000000"/>
          <w:sz w:val="22"/>
        </w:rPr>
        <w:t>191—56.14</w:t>
      </w:r>
      <w:r>
        <w:rPr>
          <w:rFonts w:ascii="Times New Roman" w:hAnsi="Times New Roman"/>
          <w:b/>
          <w:i w:val="false"/>
          <w:color w:val="000000"/>
          <w:sz w:val="22"/>
        </w:rPr>
        <w:t xml:space="preserve">(87,505) </w:t>
      </w:r>
      <w:r>
        <w:rPr>
          <w:rFonts w:ascii="Times New Roman" w:hAnsi="Times New Roman"/>
          <w:b/>
          <w:i w:val="false"/>
          <w:color w:val="000000"/>
          <w:sz w:val="22"/>
        </w:rPr>
        <w:t xml:space="preserve">Misrepresentation prohibited. </w:t>
      </w:r>
      <w:r>
        <w:rPr>
          <w:rFonts w:ascii="Times New Roman" w:hAnsi="Times New Roman"/>
          <w:b w:val="false"/>
          <w:i w:val="false"/>
          <w:color w:val="000000"/>
          <w:sz w:val="22"/>
        </w:rPr>
        <w:t>No person shall make a material misrepresentation or omission of a material fact in connection with the solicitation of a member of an association.</w:t>
      </w:r>
    </w:p>
    <w:p>
      <w:pPr>
        <w:spacing w:before="210" w:after="0"/>
        <w:ind w:left="120"/>
        <w:jc w:val="both"/>
      </w:pPr>
      <w:r>
        <w:rPr>
          <w:rFonts w:ascii="Times New Roman" w:hAnsi="Times New Roman"/>
          <w:b/>
          <w:i w:val="false"/>
          <w:color w:val="000000"/>
          <w:sz w:val="22"/>
        </w:rPr>
        <w:t>191—56.15</w:t>
      </w:r>
      <w:r>
        <w:rPr>
          <w:rFonts w:ascii="Times New Roman" w:hAnsi="Times New Roman"/>
          <w:b/>
          <w:i w:val="false"/>
          <w:color w:val="000000"/>
          <w:sz w:val="22"/>
        </w:rPr>
        <w:t xml:space="preserve">(87,505) </w:t>
      </w:r>
      <w:r>
        <w:rPr>
          <w:rFonts w:ascii="Times New Roman" w:hAnsi="Times New Roman"/>
          <w:b/>
          <w:i w:val="false"/>
          <w:color w:val="000000"/>
          <w:sz w:val="22"/>
        </w:rPr>
        <w:t xml:space="preserve">Investments. </w:t>
      </w:r>
      <w:r>
        <w:rPr>
          <w:rFonts w:ascii="Times New Roman" w:hAnsi="Times New Roman"/>
          <w:b w:val="false"/>
          <w:i w:val="false"/>
          <w:color w:val="000000"/>
          <w:sz w:val="22"/>
        </w:rPr>
        <w:t xml:space="preserve">Funds not needed for current obligations may be invested by the board of trustees in accordance with Iowa Code section </w:t>
      </w:r>
      <w:hyperlink r:id="rId30">
        <w:r>
          <w:rPr>
            <w:rStyle w:val="Hyperlink"/>
            <w:rFonts w:ascii="Times New Roman" w:hAnsi="Times New Roman"/>
            <w:b w:val="false"/>
            <w:i w:val="false"/>
            <w:color w:val="000000"/>
            <w:sz w:val="22"/>
          </w:rPr>
          <w:t>636.23, subsections 1 to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191—56.16</w:t>
      </w:r>
      <w:r>
        <w:rPr>
          <w:rFonts w:ascii="Times New Roman" w:hAnsi="Times New Roman"/>
          <w:b/>
          <w:i w:val="false"/>
          <w:color w:val="000000"/>
          <w:sz w:val="22"/>
        </w:rPr>
        <w:t xml:space="preserve">(87,505) </w:t>
      </w:r>
      <w:r>
        <w:rPr>
          <w:rFonts w:ascii="Times New Roman" w:hAnsi="Times New Roman"/>
          <w:b/>
          <w:i w:val="false"/>
          <w:color w:val="000000"/>
          <w:sz w:val="22"/>
        </w:rPr>
        <w:t xml:space="preserve">Refunds.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56.16(1)</w:t>
      </w:r>
      <w:r>
        <w:rPr>
          <w:rFonts w:ascii="Times New Roman" w:hAnsi="Times New Roman"/>
          <w:b w:val="false"/>
          <w:i w:val="false"/>
          <w:color w:val="000000"/>
          <w:sz w:val="22"/>
        </w:rPr>
        <w:t> </w:t>
      </w:r>
      <w:r>
        <w:rPr>
          <w:rFonts w:ascii="Times New Roman" w:hAnsi="Times New Roman"/>
          <w:b w:val="false"/>
          <w:i w:val="false"/>
          <w:color w:val="000000"/>
          <w:sz w:val="22"/>
        </w:rPr>
        <w:t>Any moneys for a fund year in excess of the amount necessary to fund all obligations for that fund year may be declared to be refundable by the board of trustees not less than 11 months after the end of the fund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56.16(2)</w:t>
      </w:r>
      <w:r>
        <w:rPr>
          <w:rFonts w:ascii="Times New Roman" w:hAnsi="Times New Roman"/>
          <w:b w:val="false"/>
          <w:i w:val="false"/>
          <w:color w:val="000000"/>
          <w:sz w:val="22"/>
        </w:rPr>
        <w:t> </w:t>
      </w:r>
      <w:r>
        <w:rPr>
          <w:rFonts w:ascii="Times New Roman" w:hAnsi="Times New Roman"/>
          <w:b w:val="false"/>
          <w:i w:val="false"/>
          <w:color w:val="000000"/>
          <w:sz w:val="22"/>
        </w:rPr>
        <w:t>Each member shall be given a written description of the refund plan at the time of application for membership. A refund plan for moneys in excess of the amount necessary to fund all obligations for a fund year or disbursal of claims fund moneys may be instituted by the association. Such plan must be filed and approved with the commissioner. Payment of a refund based on a member’s participation in a previous fund year payable in the following year shall not be contingent on continued membership in the association after that fund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56.16(3)</w:t>
      </w:r>
      <w:r>
        <w:rPr>
          <w:rFonts w:ascii="Times New Roman" w:hAnsi="Times New Roman"/>
          <w:b w:val="false"/>
          <w:i w:val="false"/>
          <w:color w:val="000000"/>
          <w:sz w:val="22"/>
        </w:rPr>
        <w:t> </w:t>
      </w:r>
      <w:r>
        <w:rPr>
          <w:rFonts w:ascii="Times New Roman" w:hAnsi="Times New Roman"/>
          <w:b w:val="false"/>
          <w:i w:val="false"/>
          <w:color w:val="000000"/>
          <w:sz w:val="22"/>
        </w:rPr>
        <w:t>A request to the division for authorization to disburse surplus claims moneys shall be made in writing at least 30 days prior to the desired distribution date. The request shall include a current financial statement for the association, a statement by the association that the desired disbursal will not impair the financial condition of the association, a current quarterly status report and a report establishing the adequacy of the reserves in the fiscal year for which the disbursal is requested. The date of payment shall be agreed to by the trustees and the commissioner, but in no event shall such distribution take place less than 11 months after the end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56.16(4)</w:t>
      </w:r>
      <w:r>
        <w:rPr>
          <w:rFonts w:ascii="Times New Roman" w:hAnsi="Times New Roman"/>
          <w:b w:val="false"/>
          <w:i w:val="false"/>
          <w:color w:val="000000"/>
          <w:sz w:val="22"/>
        </w:rPr>
        <w:t> </w:t>
      </w:r>
      <w:r>
        <w:rPr>
          <w:rFonts w:ascii="Times New Roman" w:hAnsi="Times New Roman"/>
          <w:b w:val="false"/>
          <w:i w:val="false"/>
          <w:color w:val="000000"/>
          <w:sz w:val="22"/>
        </w:rPr>
        <w:t>If the loss reserves of an association are found to be unreasonably low, the commissioner shall require the reserves to be certified annually by a reserve specialist approved by the commissioner.</w:t>
      </w:r>
    </w:p>
    <w:p>
      <w:pPr>
        <w:spacing w:before="0" w:after="0"/>
        <w:ind w:left="120"/>
        <w:jc w:val="both"/>
      </w:pPr>
      <w:r>
        <w:rPr>
          <w:rFonts w:ascii="Times New Roman" w:hAnsi="Times New Roman"/>
          <w:b/>
          <w:i w:val="false"/>
          <w:color w:val="000000"/>
          <w:sz w:val="22"/>
        </w:rPr>
        <w:t>191—56.17</w:t>
      </w:r>
      <w:r>
        <w:rPr>
          <w:rFonts w:ascii="Times New Roman" w:hAnsi="Times New Roman"/>
          <w:b/>
          <w:i w:val="false"/>
          <w:color w:val="000000"/>
          <w:sz w:val="22"/>
        </w:rPr>
        <w:t xml:space="preserve">(87,505) </w:t>
      </w:r>
      <w:r>
        <w:rPr>
          <w:rFonts w:ascii="Times New Roman" w:hAnsi="Times New Roman"/>
          <w:b/>
          <w:i w:val="false"/>
          <w:color w:val="000000"/>
          <w:sz w:val="22"/>
        </w:rPr>
        <w:t xml:space="preserve">Premium payment; reserves.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56.17(1)</w:t>
      </w:r>
      <w:r>
        <w:rPr>
          <w:rFonts w:ascii="Times New Roman" w:hAnsi="Times New Roman"/>
          <w:b w:val="false"/>
          <w:i w:val="false"/>
          <w:color w:val="000000"/>
          <w:sz w:val="22"/>
        </w:rPr>
        <w:t> </w:t>
      </w:r>
      <w:r>
        <w:rPr>
          <w:rFonts w:ascii="Times New Roman" w:hAnsi="Times New Roman"/>
          <w:b w:val="false"/>
          <w:i w:val="false"/>
          <w:color w:val="000000"/>
          <w:sz w:val="22"/>
        </w:rPr>
        <w:t>Each association shall establish to the satisfaction of the commissioner a premium payment plan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deposit premium payment by each member of at least 25 percent of that member’s annual premium before the start of the association’s fund year. A credit may be available for past unused deposits;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each member’s annual premium in monthly, quarterly or other regular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56.17(2)</w:t>
      </w:r>
      <w:r>
        <w:rPr>
          <w:rFonts w:ascii="Times New Roman" w:hAnsi="Times New Roman"/>
          <w:b w:val="false"/>
          <w:i w:val="false"/>
          <w:color w:val="000000"/>
          <w:sz w:val="22"/>
        </w:rPr>
        <w:t> </w:t>
      </w:r>
      <w:r>
        <w:rPr>
          <w:rFonts w:ascii="Times New Roman" w:hAnsi="Times New Roman"/>
          <w:b w:val="false"/>
          <w:i w:val="false"/>
          <w:color w:val="000000"/>
          <w:sz w:val="22"/>
        </w:rPr>
        <w:t>Each association shall establish and maintain actuarially appropriate loss reserves which shall include reserves for (1) known claims and expenses associated therewith and (2) claims incurred but not reported and expenses associated therewith.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56.17(3)</w:t>
      </w:r>
      <w:r>
        <w:rPr>
          <w:rFonts w:ascii="Times New Roman" w:hAnsi="Times New Roman"/>
          <w:b w:val="false"/>
          <w:i w:val="false"/>
          <w:color w:val="000000"/>
          <w:sz w:val="22"/>
        </w:rPr>
        <w:t> </w:t>
      </w:r>
      <w:r>
        <w:rPr>
          <w:rFonts w:ascii="Times New Roman" w:hAnsi="Times New Roman"/>
          <w:b w:val="false"/>
          <w:i w:val="false"/>
          <w:color w:val="000000"/>
          <w:sz w:val="22"/>
        </w:rPr>
        <w:t>Each association shall establish and maintain bad debt reserves based on the historical experience of the association or other associations.</w:t>
      </w:r>
    </w:p>
    <w:p>
      <w:pPr>
        <w:spacing w:before="0" w:after="0"/>
        <w:ind w:left="120"/>
        <w:jc w:val="both"/>
      </w:pPr>
      <w:r>
        <w:rPr>
          <w:rFonts w:ascii="Times New Roman" w:hAnsi="Times New Roman"/>
          <w:b/>
          <w:i w:val="false"/>
          <w:color w:val="000000"/>
          <w:sz w:val="22"/>
        </w:rPr>
        <w:t>191—56.18</w:t>
      </w:r>
      <w:r>
        <w:rPr>
          <w:rFonts w:ascii="Times New Roman" w:hAnsi="Times New Roman"/>
          <w:b/>
          <w:i w:val="false"/>
          <w:color w:val="000000"/>
          <w:sz w:val="22"/>
        </w:rPr>
        <w:t xml:space="preserve">(87,505) </w:t>
      </w:r>
      <w:r>
        <w:rPr>
          <w:rFonts w:ascii="Times New Roman" w:hAnsi="Times New Roman"/>
          <w:b/>
          <w:i w:val="false"/>
          <w:color w:val="000000"/>
          <w:sz w:val="22"/>
        </w:rPr>
        <w:t xml:space="preserve">Deficits and insolvencies.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56.18(1)</w:t>
      </w:r>
      <w:r>
        <w:rPr>
          <w:rFonts w:ascii="Times New Roman" w:hAnsi="Times New Roman"/>
          <w:b w:val="false"/>
          <w:i w:val="false"/>
          <w:color w:val="000000"/>
          <w:sz w:val="22"/>
        </w:rPr>
        <w:t> </w:t>
      </w:r>
      <w:r>
        <w:rPr>
          <w:rFonts w:ascii="Times New Roman" w:hAnsi="Times New Roman"/>
          <w:b w:val="false"/>
          <w:i w:val="false"/>
          <w:color w:val="000000"/>
          <w:sz w:val="22"/>
        </w:rPr>
        <w:t>If the assets of an association are at any time insufficient to enable the association to discharge its legal liabilities and other obligations and to maintain the reserves required of it under this Act, it shall forthwith make up the deficiency or levy an assessment upon its members for the amount needed to make up the deficiency.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56.18(2)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of a deficiency in any fund year, such deficiency shall be made up immediately, by one or more of the methods described in subrule </w:t>
      </w:r>
      <w:hyperlink r:id="rId31">
        <w:r>
          <w:rPr>
            <w:rStyle w:val="Hyperlink"/>
            <w:rFonts w:ascii="Times New Roman" w:hAnsi="Times New Roman"/>
            <w:b w:val="false"/>
            <w:i w:val="false"/>
            <w:color w:val="000000"/>
            <w:sz w:val="22"/>
          </w:rPr>
          <w:t>56.18(1)</w:t>
        </w:r>
      </w:hyperlink>
      <w:r>
        <w:rPr>
          <w:rFonts w:ascii="Times New Roman" w:hAnsi="Times New Roman"/>
          <w:b w:val="false"/>
          <w:i w:val="false"/>
          <w:color w:val="000000"/>
          <w:sz w:val="22"/>
        </w:rPr>
        <w:t>. The commissioner shall be notified prior to any transfer of surplus funds from one fund year to another.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56.18(3)</w:t>
      </w:r>
      <w:r>
        <w:rPr>
          <w:rFonts w:ascii="Times New Roman" w:hAnsi="Times New Roman"/>
          <w:b w:val="false"/>
          <w:i w:val="false"/>
          <w:color w:val="000000"/>
          <w:sz w:val="22"/>
        </w:rPr>
        <w:t> </w:t>
      </w:r>
      <w:r>
        <w:rPr>
          <w:rFonts w:ascii="Times New Roman" w:hAnsi="Times New Roman"/>
          <w:b w:val="false"/>
          <w:i w:val="false"/>
          <w:color w:val="000000"/>
          <w:sz w:val="22"/>
        </w:rPr>
        <w:t>If the association fails to assess its members or to otherwise make up such deficit within 30 days, the commissioner shall order it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56.18(4)</w:t>
      </w:r>
      <w:r>
        <w:rPr>
          <w:rFonts w:ascii="Times New Roman" w:hAnsi="Times New Roman"/>
          <w:b w:val="false"/>
          <w:i w:val="false"/>
          <w:color w:val="000000"/>
          <w:sz w:val="22"/>
        </w:rPr>
        <w:t> </w:t>
      </w:r>
      <w:r>
        <w:rPr>
          <w:rFonts w:ascii="Times New Roman" w:hAnsi="Times New Roman"/>
          <w:b w:val="false"/>
          <w:i w:val="false"/>
          <w:color w:val="000000"/>
          <w:sz w:val="22"/>
        </w:rPr>
        <w:t>If the association fails to make the required assessment of its members within 30 days after the commissioner orders it to do so, or if the deficiency is not fully made up within 60 days after the date on which such assessment is made, or within such longer period of time as may be specified by the commissioner, the association shall be deemed to be insolvent.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56.18(5)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proceed against an insolvent association in the same manner as the commissioner would proceed against an insolvent domestic insurer in this state as prescribed in Iowa Code sections </w:t>
      </w:r>
      <w:hyperlink r:id="rId32">
        <w:r>
          <w:rPr>
            <w:rStyle w:val="Hyperlink"/>
            <w:rFonts w:ascii="Times New Roman" w:hAnsi="Times New Roman"/>
            <w:b w:val="false"/>
            <w:i w:val="false"/>
            <w:color w:val="000000"/>
            <w:sz w:val="22"/>
          </w:rPr>
          <w:t>515.85 to 515.87</w:t>
        </w:r>
      </w:hyperlink>
      <w:r>
        <w:rPr>
          <w:rFonts w:ascii="Times New Roman" w:hAnsi="Times New Roman"/>
          <w:b w:val="false"/>
          <w:i w:val="false"/>
          <w:color w:val="000000"/>
          <w:sz w:val="22"/>
        </w:rPr>
        <w:t xml:space="preserve"> regarding liquidation, conservation,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commissioner shall have the same powers and limitations in such proceedings as are provided under those sections, except as otherwise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56.18(6)</w:t>
      </w:r>
      <w:r>
        <w:rPr>
          <w:rFonts w:ascii="Times New Roman" w:hAnsi="Times New Roman"/>
          <w:b w:val="false"/>
          <w:i w:val="false"/>
          <w:color w:val="000000"/>
          <w:sz w:val="22"/>
        </w:rPr>
        <w:t> </w:t>
      </w:r>
      <w:r>
        <w:rPr>
          <w:rFonts w:ascii="Times New Roman" w:hAnsi="Times New Roman"/>
          <w:b w:val="false"/>
          <w:i w:val="false"/>
          <w:color w:val="000000"/>
          <w:sz w:val="22"/>
        </w:rPr>
        <w:t>In the event of the liquidation of an association, the commissioner shall levy an assessment upon its members for such an amount as the commissioner determines to be necessary to discharge all liabilities of the association, including the reasonable cost of liquidation.</w:t>
      </w:r>
    </w:p>
    <w:p>
      <w:pPr>
        <w:spacing w:before="0" w:after="0"/>
        <w:ind w:left="120"/>
        <w:jc w:val="both"/>
      </w:pPr>
      <w:r>
        <w:rPr>
          <w:rFonts w:ascii="Times New Roman" w:hAnsi="Times New Roman"/>
          <w:b/>
          <w:i w:val="false"/>
          <w:color w:val="000000"/>
          <w:sz w:val="22"/>
        </w:rPr>
        <w:t>191—56.19</w:t>
      </w:r>
      <w:r>
        <w:rPr>
          <w:rFonts w:ascii="Times New Roman" w:hAnsi="Times New Roman"/>
          <w:b/>
          <w:i w:val="false"/>
          <w:color w:val="000000"/>
          <w:sz w:val="22"/>
        </w:rPr>
        <w:t xml:space="preserve">(87,505) </w:t>
      </w:r>
      <w:r>
        <w:rPr>
          <w:rFonts w:ascii="Times New Roman" w:hAnsi="Times New Roman"/>
          <w:b/>
          <w:i w:val="false"/>
          <w:color w:val="000000"/>
          <w:sz w:val="22"/>
        </w:rPr>
        <w:t xml:space="preserve">Grounds for nonrenewal or revocation of a certificate of relief from insurance. </w:t>
      </w:r>
      <w:r>
        <w:rPr>
          <w:rFonts w:ascii="Times New Roman" w:hAnsi="Times New Roman"/>
          <w:b w:val="false"/>
          <w:i w:val="false"/>
          <w:color w:val="000000"/>
          <w:sz w:val="22"/>
        </w:rPr>
        <w:t>The following constitute grounds for nonrenewal or revocation of a certificate of relief from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provisions of these rules or of Iowa Code chapter </w:t>
      </w:r>
      <w:hyperlink r:id="rId33">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or </w:t>
      </w:r>
      <w:hyperlink r:id="rId37">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lawful order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56.19(3)</w:t>
      </w:r>
      <w:r>
        <w:rPr>
          <w:rFonts w:ascii="Times New Roman" w:hAnsi="Times New Roman"/>
          <w:b w:val="false"/>
          <w:i w:val="false"/>
          <w:color w:val="000000"/>
          <w:sz w:val="22"/>
        </w:rPr>
        <w:t> </w:t>
      </w:r>
      <w:r>
        <w:rPr>
          <w:rFonts w:ascii="Times New Roman" w:hAnsi="Times New Roman"/>
          <w:b w:val="false"/>
          <w:i w:val="false"/>
          <w:color w:val="000000"/>
          <w:sz w:val="22"/>
        </w:rPr>
        <w:t>Failure to promptly pay lawful compensation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56.19(4)</w:t>
      </w:r>
      <w:r>
        <w:rPr>
          <w:rFonts w:ascii="Times New Roman" w:hAnsi="Times New Roman"/>
          <w:b w:val="false"/>
          <w:i w:val="false"/>
          <w:color w:val="000000"/>
          <w:sz w:val="22"/>
        </w:rPr>
        <w:t> </w:t>
      </w:r>
      <w:r>
        <w:rPr>
          <w:rFonts w:ascii="Times New Roman" w:hAnsi="Times New Roman"/>
          <w:b w:val="false"/>
          <w:i w:val="false"/>
          <w:color w:val="000000"/>
          <w:sz w:val="22"/>
        </w:rPr>
        <w:t>Committing an unfair or deceptive act or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56.19(5)</w:t>
      </w:r>
      <w:r>
        <w:rPr>
          <w:rFonts w:ascii="Times New Roman" w:hAnsi="Times New Roman"/>
          <w:b w:val="false"/>
          <w:i w:val="false"/>
          <w:color w:val="000000"/>
          <w:sz w:val="22"/>
        </w:rPr>
        <w:t> </w:t>
      </w:r>
      <w:r>
        <w:rPr>
          <w:rFonts w:ascii="Times New Roman" w:hAnsi="Times New Roman"/>
          <w:b w:val="false"/>
          <w:i w:val="false"/>
          <w:color w:val="000000"/>
          <w:sz w:val="22"/>
        </w:rPr>
        <w:t>Deterioration of financial condition adversely affecting the certificate holder’s ability to pay expected losses;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56.19(6)</w:t>
      </w:r>
      <w:r>
        <w:rPr>
          <w:rFonts w:ascii="Times New Roman" w:hAnsi="Times New Roman"/>
          <w:b w:val="false"/>
          <w:i w:val="false"/>
          <w:color w:val="000000"/>
          <w:sz w:val="22"/>
        </w:rPr>
        <w:t> </w:t>
      </w:r>
      <w:r>
        <w:rPr>
          <w:rFonts w:ascii="Times New Roman" w:hAnsi="Times New Roman"/>
          <w:b w:val="false"/>
          <w:i w:val="false"/>
          <w:color w:val="000000"/>
          <w:sz w:val="22"/>
        </w:rPr>
        <w:t>The application or any necessary forms that have been filed with the division contain fraudulent information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56.19(7)</w:t>
      </w:r>
      <w:r>
        <w:rPr>
          <w:rFonts w:ascii="Times New Roman" w:hAnsi="Times New Roman"/>
          <w:b w:val="false"/>
          <w:i w:val="false"/>
          <w:color w:val="000000"/>
          <w:sz w:val="22"/>
        </w:rPr>
        <w:t> </w:t>
      </w:r>
      <w:r>
        <w:rPr>
          <w:rFonts w:ascii="Times New Roman" w:hAnsi="Times New Roman"/>
          <w:b w:val="false"/>
          <w:i w:val="false"/>
          <w:color w:val="000000"/>
          <w:sz w:val="22"/>
        </w:rPr>
        <w:t>The association or its administrator has misappropriated, converted, illegally withheld, or refused to pay over upon proper demand any moneys that belong to a member, an employee of a member, or a person otherwise entitled thereto and that have been entrusted to the association or its administrator in its fiduciary capacities;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56.19(8)</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remit the proper amount of premium tax in a timely manner, as required by Iowa Code section </w:t>
      </w:r>
      <w:hyperlink r:id="rId38">
        <w:r>
          <w:rPr>
            <w:rStyle w:val="Hyperlink"/>
            <w:rFonts w:ascii="Times New Roman" w:hAnsi="Times New Roman"/>
            <w:b w:val="false"/>
            <w:i w:val="false"/>
            <w:color w:val="000000"/>
            <w:sz w:val="22"/>
          </w:rPr>
          <w:t>432.1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191—56.20</w:t>
      </w:r>
      <w:r>
        <w:rPr>
          <w:rFonts w:ascii="Times New Roman" w:hAnsi="Times New Roman"/>
          <w:b/>
          <w:i w:val="false"/>
          <w:color w:val="000000"/>
          <w:sz w:val="22"/>
        </w:rPr>
        <w:t xml:space="preserve">(87,505) </w:t>
      </w:r>
      <w:r>
        <w:rPr>
          <w:rFonts w:ascii="Times New Roman" w:hAnsi="Times New Roman"/>
          <w:b/>
          <w:i w:val="false"/>
          <w:color w:val="000000"/>
          <w:sz w:val="22"/>
        </w:rPr>
        <w:t xml:space="preserve">Hearing and appeal. </w:t>
      </w:r>
      <w:r>
        <w:rPr>
          <w:rFonts w:ascii="Times New Roman" w:hAnsi="Times New Roman"/>
          <w:b w:val="false"/>
          <w:i w:val="false"/>
          <w:color w:val="000000"/>
          <w:sz w:val="22"/>
        </w:rPr>
        <w:t xml:space="preserve">Prior to denying a renewal application or revoking a certificate issued under this chapter, a certificate holder shall be given a hearing and a right to appeal as provided in rule </w:t>
      </w:r>
      <w:hyperlink r:id="rId39">
        <w:r>
          <w:rPr>
            <w:rStyle w:val="Hyperlink"/>
            <w:rFonts w:ascii="Times New Roman" w:hAnsi="Times New Roman"/>
            <w:b w:val="false"/>
            <w:i w:val="false"/>
            <w:color w:val="000000"/>
            <w:sz w:val="22"/>
          </w:rPr>
          <w:t>3.1</w:t>
        </w:r>
      </w:hyperlink>
      <w:r>
        <w:rPr>
          <w:rFonts w:ascii="Times New Roman" w:hAnsi="Times New Roman"/>
          <w:b w:val="false"/>
          <w:i w:val="false"/>
          <w:color w:val="000000"/>
          <w:sz w:val="22"/>
        </w:rPr>
        <w:t>(17A,502,505) et seq.</w:t>
      </w:r>
    </w:p>
    <w:p>
      <w:pPr>
        <w:spacing w:before="0" w:after="0"/>
        <w:ind w:left="120"/>
        <w:jc w:val="both"/>
      </w:pPr>
      <w:r>
        <w:rPr>
          <w:rFonts w:ascii="Times New Roman" w:hAnsi="Times New Roman"/>
          <w:b/>
          <w:i w:val="false"/>
          <w:color w:val="000000"/>
          <w:sz w:val="22"/>
        </w:rPr>
        <w:t>191—56.21</w:t>
      </w:r>
      <w:r>
        <w:rPr>
          <w:rFonts w:ascii="Times New Roman" w:hAnsi="Times New Roman"/>
          <w:b/>
          <w:i w:val="false"/>
          <w:color w:val="000000"/>
          <w:sz w:val="22"/>
        </w:rPr>
        <w:t xml:space="preserve">(87,505) </w:t>
      </w:r>
      <w:r>
        <w:rPr>
          <w:rFonts w:ascii="Times New Roman" w:hAnsi="Times New Roman"/>
          <w:b/>
          <w:i w:val="false"/>
          <w:color w:val="000000"/>
          <w:sz w:val="22"/>
        </w:rPr>
        <w:t xml:space="preserve">Existing approved self-insurers.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56.21(1)</w:t>
      </w:r>
      <w:r>
        <w:rPr>
          <w:rFonts w:ascii="Times New Roman" w:hAnsi="Times New Roman"/>
          <w:b w:val="false"/>
          <w:i w:val="false"/>
          <w:color w:val="000000"/>
          <w:sz w:val="22"/>
        </w:rPr>
        <w:t> </w:t>
      </w:r>
      <w:r>
        <w:rPr>
          <w:rFonts w:ascii="Times New Roman" w:hAnsi="Times New Roman"/>
          <w:b w:val="false"/>
          <w:i w:val="false"/>
          <w:color w:val="000000"/>
          <w:sz w:val="22"/>
        </w:rPr>
        <w:t>All mutual associations which were given a certificate of relief from insurance or some other approval to group self-insure from the commissioner prior to the effective date of these rules shall bring themselves into full compliance with these rules within 90 days after their effective date or by the filing time set out for renewals, whichever comes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56.21(2)</w:t>
      </w:r>
      <w:r>
        <w:rPr>
          <w:rFonts w:ascii="Times New Roman" w:hAnsi="Times New Roman"/>
          <w:b w:val="false"/>
          <w:i w:val="false"/>
          <w:color w:val="000000"/>
          <w:sz w:val="22"/>
        </w:rPr>
        <w:t> </w:t>
      </w:r>
      <w:r>
        <w:rPr>
          <w:rFonts w:ascii="Times New Roman" w:hAnsi="Times New Roman"/>
          <w:b w:val="false"/>
          <w:i w:val="false"/>
          <w:color w:val="000000"/>
          <w:sz w:val="22"/>
        </w:rPr>
        <w:t>An existing association may petition the commissioner for a waiver of a rule or rules. The commissioner may grant such waiver upon showing to the commissioner’s satisfaction that the association is solvent and has the ability to pay workers’ compensation benefits as required by law.</w:t>
      </w:r>
    </w:p>
    <w:p>
      <w:pPr>
        <w:spacing w:before="210" w:after="0"/>
        <w:ind w:left="120"/>
        <w:jc w:val="both"/>
      </w:pPr>
      <w:r>
        <w:rPr>
          <w:rFonts w:ascii="Times New Roman" w:hAnsi="Times New Roman"/>
          <w:b/>
          <w:i w:val="false"/>
          <w:color w:val="000000"/>
          <w:sz w:val="22"/>
        </w:rPr>
        <w:t>191—56.22</w:t>
      </w:r>
      <w:r>
        <w:rPr>
          <w:rFonts w:ascii="Times New Roman" w:hAnsi="Times New Roman"/>
          <w:b/>
          <w:i w:val="false"/>
          <w:color w:val="000000"/>
          <w:sz w:val="22"/>
        </w:rPr>
        <w:t xml:space="preserve">(87,505) </w:t>
      </w:r>
      <w:r>
        <w:rPr>
          <w:rFonts w:ascii="Times New Roman" w:hAnsi="Times New Roman"/>
          <w:b/>
          <w:i w:val="false"/>
          <w:color w:val="000000"/>
          <w:sz w:val="22"/>
        </w:rPr>
        <w:t xml:space="preserve">Severability clause. </w:t>
      </w:r>
      <w:r>
        <w:rPr>
          <w:rFonts w:ascii="Times New Roman" w:hAnsi="Times New Roman"/>
          <w:b w:val="false"/>
          <w:i w:val="false"/>
          <w:color w:val="000000"/>
          <w:sz w:val="22"/>
        </w:rPr>
        <w:t>If any provision of this chapter, or the application thereof to any person or circumstance, is subsequently held to be invalid, such invalidity shall not affect other provisions or applications of this chapter.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0">
        <w:r>
          <w:rPr>
            <w:rStyle w:val="Hyperlink"/>
            <w:rFonts w:ascii="Times New Roman" w:hAnsi="Times New Roman"/>
            <w:b w:val="false"/>
            <w:i w:val="false"/>
            <w:color w:val="000000"/>
            <w:sz w:val="22"/>
          </w:rPr>
          <w:t>87.4</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87.20</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432.1</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509A.14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5/18/84, Notice 4/11/84—published 6/6/84, effective 7/11/84]</w:t>
      </w:r>
    </w:p>
    <w:p>
      <w:pPr>
        <w:spacing w:before="0" w:after="0"/>
        <w:ind w:left="120"/>
        <w:jc w:val="center"/>
      </w:pPr>
      <w:r>
        <w:rPr>
          <w:rFonts w:ascii="Times New Roman" w:hAnsi="Times New Roman"/>
          <w:b w:val="false"/>
          <w:i w:val="false"/>
          <w:color w:val="000000"/>
          <w:sz w:val="21"/>
        </w:rPr>
        <w:t>[Filed emergency 3/22/85—published 4/10/85, effective 3/22/85]</w:t>
      </w:r>
    </w:p>
    <w:p>
      <w:pPr>
        <w:spacing w:before="0" w:after="0"/>
        <w:ind w:left="120"/>
        <w:jc w:val="center"/>
      </w:pPr>
      <w:r>
        <w:rPr>
          <w:rFonts w:ascii="Times New Roman" w:hAnsi="Times New Roman"/>
          <w:b w:val="false"/>
          <w:i w:val="false"/>
          <w:color w:val="000000"/>
          <w:sz w:val="21"/>
        </w:rPr>
        <w:t>[Filed emergency 7/12/85—published 7/31/85, effective 7/12/85]</w:t>
      </w:r>
    </w:p>
    <w:p>
      <w:pPr>
        <w:spacing w:before="0" w:after="0"/>
        <w:ind w:left="120"/>
        <w:jc w:val="center"/>
      </w:pPr>
      <w:r>
        <w:rPr>
          <w:rFonts w:ascii="Times New Roman" w:hAnsi="Times New Roman"/>
          <w:b w:val="false"/>
          <w:i w:val="false"/>
          <w:color w:val="000000"/>
          <w:sz w:val="21"/>
        </w:rPr>
        <w:t>[Filed 1/8/86, Notice 7/31/85—published 1/29/86, effective 3/5/86]</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3/4/88, Notice 1/27/88—published 3/23/88, effective 4/27/88]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32.1.pdf" Type="http://schemas.openxmlformats.org/officeDocument/2006/relationships/hyperlink" Id="rId5"/>
    <Relationship TargetMode="External" Target="https://www.legis.iowa.gov/docs/ico/chapter/87.4.pdf" Type="http://schemas.openxmlformats.org/officeDocument/2006/relationships/hyperlink" Id="rId6"/>
    <Relationship TargetMode="External" Target="https://www.legis.iowa.gov/docs/ico/chapter/505.8.pdf" Type="http://schemas.openxmlformats.org/officeDocument/2006/relationships/hyperlink" Id="rId7"/>
    <Relationship TargetMode="External" Target="https://www.legis.iowa.gov/docs/ico/chapter/85.pdf" Type="http://schemas.openxmlformats.org/officeDocument/2006/relationships/hyperlink" Id="rId8"/>
    <Relationship TargetMode="External" Target="https://www.legis.iowa.gov/docs/ico/chapter/85A.pdf" Type="http://schemas.openxmlformats.org/officeDocument/2006/relationships/hyperlink" Id="rId9"/>
    <Relationship TargetMode="External" Target="https://www.legis.iowa.gov/docs/ico/chapter/85B.pdf" Type="http://schemas.openxmlformats.org/officeDocument/2006/relationships/hyperlink" Id="rId10"/>
    <Relationship TargetMode="External" Target="https://www.legis.iowa.gov/docs/ico/chapter/86.pdf" Type="http://schemas.openxmlformats.org/officeDocument/2006/relationships/hyperlink" Id="rId11"/>
    <Relationship TargetMode="External" Target="https://www.legis.iowa.gov/docs/ico/chapter/87.pdf" Type="http://schemas.openxmlformats.org/officeDocument/2006/relationships/hyperlink" Id="rId12"/>
    <Relationship TargetMode="External" Target="https://www.legis.iowa.gov/docs/ico/chapter/505.2.pdf" Type="http://schemas.openxmlformats.org/officeDocument/2006/relationships/hyperlink" Id="rId13"/>
    <Relationship TargetMode="External" Target="https://www.legis.iowa.gov/docs/ico/chapter/85.61.pdf" Type="http://schemas.openxmlformats.org/officeDocument/2006/relationships/hyperlink" Id="rId14"/>
    <Relationship TargetMode="External" Target="https://www.legis.iowa.gov/docs/ico/chapter/87.4.pdf" Type="http://schemas.openxmlformats.org/officeDocument/2006/relationships/hyperlink" Id="rId15"/>
    <Relationship TargetMode="External" Target="https://www.legis.iowa.gov/docs/iac/rule/191.56.3.pdf" Type="http://schemas.openxmlformats.org/officeDocument/2006/relationships/hyperlink" Id="rId16"/>
    <Relationship TargetMode="External" Target="https://www.legis.iowa.gov/docs/iac/rule/191.56.17.pdf" Type="http://schemas.openxmlformats.org/officeDocument/2006/relationships/hyperlink" Id="rId17"/>
    <Relationship TargetMode="External" Target="https://www.legis.iowa.gov/docs/iac/rule/191.56.5.pdf" Type="http://schemas.openxmlformats.org/officeDocument/2006/relationships/hyperlink" Id="rId18"/>
    <Relationship TargetMode="External" Target="https://www.legis.iowa.gov/docs/iac/rule/191.56.3.pdf" Type="http://schemas.openxmlformats.org/officeDocument/2006/relationships/hyperlink" Id="rId19"/>
    <Relationship TargetMode="External" Target="https://www.legis.iowa.gov/docs/iac/rule/191.56.3.pdf" Type="http://schemas.openxmlformats.org/officeDocument/2006/relationships/hyperlink" Id="rId20"/>
    <Relationship TargetMode="External" Target="https://www.legis.iowa.gov/docs/iac/rule/191.56.3.pdf" Type="http://schemas.openxmlformats.org/officeDocument/2006/relationships/hyperlink" Id="rId21"/>
    <Relationship TargetMode="External" Target="https://www.legis.iowa.gov/docs/iac/rule/191.56.6.pdf" Type="http://schemas.openxmlformats.org/officeDocument/2006/relationships/hyperlink" Id="rId22"/>
    <Relationship TargetMode="External" Target="https://www.legis.iowa.gov/docs/iac/rule/191.56.13.pdf" Type="http://schemas.openxmlformats.org/officeDocument/2006/relationships/hyperlink" Id="rId23"/>
    <Relationship TargetMode="External" Target="https://www.legis.iowa.gov/docs/iac/rule/191.56.3.pdf" Type="http://schemas.openxmlformats.org/officeDocument/2006/relationships/hyperlink" Id="rId24"/>
    <Relationship TargetMode="External" Target="https://www.legis.iowa.gov/docs/ico/chapter/507B.pdf" Type="http://schemas.openxmlformats.org/officeDocument/2006/relationships/hyperlink" Id="rId25"/>
    <Relationship TargetMode="External" Target="https://www.legis.iowa.gov/docs/iac/rule/191.56.12.pdf" Type="http://schemas.openxmlformats.org/officeDocument/2006/relationships/hyperlink" Id="rId26"/>
    <Relationship TargetMode="External" Target="https://www.legis.iowa.gov/docs/iac/rule/191.56.12.pdf" Type="http://schemas.openxmlformats.org/officeDocument/2006/relationships/hyperlink" Id="rId27"/>
    <Relationship TargetMode="External" Target="https://www.legis.iowa.gov/docs/iac/rule/191.56.13.pdf" Type="http://schemas.openxmlformats.org/officeDocument/2006/relationships/hyperlink" Id="rId28"/>
    <Relationship TargetMode="External" Target="https://www.legis.iowa.gov/docs/iac/rule/191.56.19.pdf" Type="http://schemas.openxmlformats.org/officeDocument/2006/relationships/hyperlink" Id="rId29"/>
    <Relationship TargetMode="External" Target="https://www.legis.iowa.gov/docs/ico/chapter/636.23.pdf" Type="http://schemas.openxmlformats.org/officeDocument/2006/relationships/hyperlink" Id="rId30"/>
    <Relationship TargetMode="External" Target="https://www.legis.iowa.gov/docs/iac/rule/191.56.18.pdf" Type="http://schemas.openxmlformats.org/officeDocument/2006/relationships/hyperlink" Id="rId31"/>
    <Relationship TargetMode="External" Target="https://www.legis.iowa.gov/docs/ico/chapter/515.85-87.pdf" Type="http://schemas.openxmlformats.org/officeDocument/2006/relationships/hyperlink" Id="rId32"/>
    <Relationship TargetMode="External" Target="https://www.legis.iowa.gov/docs/ico/chapter/85.pdf" Type="http://schemas.openxmlformats.org/officeDocument/2006/relationships/hyperlink" Id="rId33"/>
    <Relationship TargetMode="External" Target="https://www.legis.iowa.gov/docs/ico/chapter/85A.pdf" Type="http://schemas.openxmlformats.org/officeDocument/2006/relationships/hyperlink" Id="rId34"/>
    <Relationship TargetMode="External" Target="https://www.legis.iowa.gov/docs/ico/chapter/85B.pdf" Type="http://schemas.openxmlformats.org/officeDocument/2006/relationships/hyperlink" Id="rId35"/>
    <Relationship TargetMode="External" Target="https://www.legis.iowa.gov/docs/ico/chapter/86.pdf" Type="http://schemas.openxmlformats.org/officeDocument/2006/relationships/hyperlink" Id="rId36"/>
    <Relationship TargetMode="External" Target="https://www.legis.iowa.gov/docs/ico/chapter/87.pdf" Type="http://schemas.openxmlformats.org/officeDocument/2006/relationships/hyperlink" Id="rId37"/>
    <Relationship TargetMode="External" Target="https://www.legis.iowa.gov/docs/ico/chapter/432.1.pdf" Type="http://schemas.openxmlformats.org/officeDocument/2006/relationships/hyperlink" Id="rId38"/>
    <Relationship TargetMode="External" Target="https://www.legis.iowa.gov/docs/iac/rule/191.3.1.pdf" Type="http://schemas.openxmlformats.org/officeDocument/2006/relationships/hyperlink" Id="rId39"/>
    <Relationship TargetMode="External" Target="https://www.legis.iowa.gov/docs/ico/chapter/87.4.pdf" Type="http://schemas.openxmlformats.org/officeDocument/2006/relationships/hyperlink" Id="rId40"/>
    <Relationship TargetMode="External" Target="https://www.legis.iowa.gov/docs/ico/chapter/87.11.pdf" Type="http://schemas.openxmlformats.org/officeDocument/2006/relationships/hyperlink" Id="rId41"/>
    <Relationship TargetMode="External" Target="https://www.legis.iowa.gov/docs/ico/chapter/87.20.pdf" Type="http://schemas.openxmlformats.org/officeDocument/2006/relationships/hyperlink" Id="rId42"/>
    <Relationship TargetMode="External" Target="https://www.legis.iowa.gov/docs/ico/chapter/432.1.pdf" Type="http://schemas.openxmlformats.org/officeDocument/2006/relationships/hyperlink" Id="rId43"/>
    <Relationship TargetMode="External" Target="https://www.legis.iowa.gov/docs/ico/chapter/505.8.pdf" Type="http://schemas.openxmlformats.org/officeDocument/2006/relationships/hyperlink" Id="rId44"/>
    <Relationship TargetMode="External" Target="https://www.legis.iowa.gov/docs/ico/chapter/509A.14.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