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INJURED VETERANS GRANT PROGRAM</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2006-2007 PROGRAM GUIDELINES</w:t>
      </w:r>
    </w:p>
    <w:p>
      <w:pPr>
        <w:spacing w:before="0" w:after="0"/>
        <w:ind w:left="120"/>
        <w:jc w:val="both"/>
      </w:pPr>
      <w:r>
        <w:rPr>
          <w:rFonts w:ascii="Times New Roman" w:hAnsi="Times New Roman"/>
          <w:b/>
          <w:i w:val="false"/>
          <w:color w:val="000000"/>
          <w:sz w:val="22"/>
        </w:rPr>
        <w:t>801—11.1</w:t>
      </w:r>
      <w:r>
        <w:rPr>
          <w:rFonts w:ascii="Times New Roman" w:hAnsi="Times New Roman"/>
          <w:b/>
          <w:i w:val="false"/>
          <w:color w:val="000000"/>
          <w:sz w:val="22"/>
        </w:rPr>
        <w:t xml:space="preserve">(35A) </w:t>
      </w:r>
      <w:r>
        <w:rPr>
          <w:rFonts w:ascii="Times New Roman" w:hAnsi="Times New Roman"/>
          <w:b/>
          <w:i w:val="false"/>
          <w:color w:val="000000"/>
          <w:sz w:val="22"/>
        </w:rPr>
        <w:t xml:space="preserve">Purpose. </w:t>
      </w:r>
      <w:r>
        <w:rPr>
          <w:rFonts w:ascii="Times New Roman" w:hAnsi="Times New Roman"/>
          <w:b w:val="false"/>
          <w:i w:val="false"/>
          <w:color w:val="000000"/>
          <w:sz w:val="22"/>
        </w:rPr>
        <w:t>The legislative intent of this program is to provide immediate financial assistance to a veteran so that family members of the veteran may be with the veteran during the veteran’s recovery from an injury received in the line of duty in a combat zone or in a zone where the veteran was receiving hazardous duty pay after September 11, 2001.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801—11.2</w:t>
      </w:r>
      <w:r>
        <w:rPr>
          <w:rFonts w:ascii="Times New Roman" w:hAnsi="Times New Roman"/>
          <w:b/>
          <w:i w:val="false"/>
          <w:color w:val="000000"/>
          <w:sz w:val="22"/>
        </w:rPr>
        <w:t xml:space="preserve">(35A) </w:t>
      </w:r>
      <w:r>
        <w:rPr>
          <w:rFonts w:ascii="Times New Roman" w:hAnsi="Times New Roman"/>
          <w:b/>
          <w:i w:val="false"/>
          <w:color w:val="000000"/>
          <w:sz w:val="22"/>
        </w:rPr>
        <w:t xml:space="preserve">Grant amounts.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val="false"/>
          <w:color w:val="000000"/>
          <w:sz w:val="22"/>
        </w:rPr>
        <w:t>Grants will be paid by the Iowa department of veterans affairs in increments of $2,500 up to a maximum of $10,000 in the following manner:</w:t>
      </w:r>
    </w:p>
    <w:tbl>
      <w:tblPr>
        <w:tblW w:w="5000" w:type="pct"/>
        <w:tblCellSpacing w:w="0" w:type="auto"/>
        <w:tblBorders>
          <w:top w:val="none"/>
          <w:left w:val="none"/>
          <w:bottom w:val="none"/>
          <w:right w:val="none"/>
          <w:insideH w:val="none"/>
          <w:insideV w:val="none"/>
        </w:tblBorders>
        <w:tblLayout w:type="fixed"/>
      </w:tblPr>
      <w:tblGrid>
        <w:gridCol w:w="2129"/>
        <w:gridCol w:w="9061"/>
      </w:tblGrid>
      <w:tr>
        <w:trPr>
          <w:trHeight w:val="495" w:hRule="atLeast"/>
        </w:trPr>
        <w:tc>
          <w:tcPr>
            <w:tcW w:w="2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$2,500</w:t>
            </w:r>
          </w:p>
        </w:tc>
        <w:tc>
          <w:tcPr>
            <w:tcW w:w="9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When veteran is medically evacuated from the combat zone following a combat-related injury.</w:t>
            </w:r>
          </w:p>
        </w:tc>
      </w:tr>
      <w:tr>
        <w:trPr>
          <w:trHeight w:val="735" w:hRule="atLeast"/>
        </w:trPr>
        <w:tc>
          <w:tcPr>
            <w:tcW w:w="2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$2,500</w:t>
            </w:r>
          </w:p>
        </w:tc>
        <w:tc>
          <w:tcPr>
            <w:tcW w:w="9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30 days after evacuation date if still hospitalized, receiving medical treatment or rehabilitation services by the military or Veterans Administration; does not include follow-up appointments.</w:t>
            </w:r>
          </w:p>
        </w:tc>
      </w:tr>
      <w:tr>
        <w:trPr>
          <w:trHeight w:val="735" w:hRule="atLeast"/>
        </w:trPr>
        <w:tc>
          <w:tcPr>
            <w:tcW w:w="2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$2,500</w:t>
            </w:r>
          </w:p>
        </w:tc>
        <w:tc>
          <w:tcPr>
            <w:tcW w:w="9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60 days after evacuation date if still hospitalized, receiving medical treatment or rehabilitation services by the military or Veterans Administration; does not include follow-up appointments.</w:t>
            </w:r>
          </w:p>
        </w:tc>
      </w:tr>
      <w:tr>
        <w:trPr>
          <w:trHeight w:val="735" w:hRule="atLeast"/>
        </w:trPr>
        <w:tc>
          <w:tcPr>
            <w:tcW w:w="21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$2,500</w:t>
            </w:r>
          </w:p>
        </w:tc>
        <w:tc>
          <w:tcPr>
            <w:tcW w:w="9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90 days after evacuation date if still hospitalized, receiving medical treatment or rehabilitation services by the military or Veterans Administration; does not include follow-up appointments.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val="false"/>
          <w:color w:val="000000"/>
          <w:sz w:val="22"/>
        </w:rPr>
        <w:t>Treatment or services must be provided in a location that is not the veteran’s home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801—11.3</w:t>
      </w:r>
      <w:r>
        <w:rPr>
          <w:rFonts w:ascii="Times New Roman" w:hAnsi="Times New Roman"/>
          <w:b/>
          <w:i w:val="false"/>
          <w:color w:val="000000"/>
          <w:sz w:val="22"/>
        </w:rPr>
        <w:t xml:space="preserve">(35A) </w:t>
      </w:r>
      <w:r>
        <w:rPr>
          <w:rFonts w:ascii="Times New Roman" w:hAnsi="Times New Roman"/>
          <w:b/>
          <w:i w:val="false"/>
          <w:color w:val="000000"/>
          <w:sz w:val="22"/>
        </w:rPr>
        <w:t xml:space="preserve">Eligible veterans.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For purposes of this program, the term “veteran”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of this state who is or was a member of the national guard, reserve, or regular component of the armed forces of the United States who has served on active duty at any time after September 11, 2001, and, if discharged or released from service, was discharged or released under honorable conditions;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nonresident of this state who is or was a member of a national guard unit located in this state prior to alert for mobilization who has served on active duty at any time after September 11, 2001, was injured while serving in the national guard unit located in this state, is not eligible to receive a similar grant from another state for that injury, and, if discharged or released from service, was discharged or released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set out in subrule </w:t>
      </w:r>
      <w:hyperlink r:id="rId5">
        <w:r>
          <w:rPr>
            <w:rStyle w:val="Hyperlink"/>
            <w:rFonts w:ascii="Times New Roman" w:hAnsi="Times New Roman"/>
            <w:b w:val="false"/>
            <w:i w:val="false"/>
            <w:color w:val="000000"/>
            <w:sz w:val="22"/>
          </w:rPr>
          <w:t>11.3(1)</w:t>
        </w:r>
      </w:hyperlink>
      <w:r>
        <w:rPr>
          <w:rFonts w:ascii="Times New Roman" w:hAnsi="Times New Roman"/>
          <w:b w:val="false"/>
          <w:i w:val="false"/>
          <w:color w:val="000000"/>
          <w:sz w:val="22"/>
        </w:rPr>
        <w:t>, an eligible veteran must meet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veteran must have sustained a service-related injury in the line of duty, based upon the circumstances known at the time of evacuation or injury; in support of a named overseas operation; or in a hostile fire zone;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service-related injury was serious enough to require medical evacuation from the theater of operation to a military hospital or the injury required at least 30 consecutive days of hospitalization at a military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veteran shall remain eligible for the grant after discharge from the military so long as the veteran continues to receive medical treatment or rehabilitation services for the specific injury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may consider a request for a waiver of any of these requirements only pursuant to the provisions of Iowa Code section </w:t>
      </w:r>
      <w:hyperlink r:id="rId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9471B</w:t>
      </w:r>
      <w:r>
        <w:rPr>
          <w:rFonts w:ascii="Times New Roman" w:hAnsi="Times New Roman"/>
          <w:b w:val="false"/>
          <w:i w:val="false"/>
          <w:color w:val="000000"/>
          <w:sz w:val="16"/>
        </w:rPr>
        <w:t>, IAB 4/20/11, effective 3/31/11</w:t>
      </w:r>
      <w:r>
        <w:rPr>
          <w:rFonts w:ascii="Times New Roman" w:hAnsi="Times New Roman"/>
          <w:b w:val="false"/>
          <w:i w:val="false"/>
          <w:color w:val="000000"/>
          <w:sz w:val="16"/>
        </w:rPr>
        <w:t xml:space="preserve">; </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4987C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801—11.4</w:t>
      </w:r>
      <w:r>
        <w:rPr>
          <w:rFonts w:ascii="Times New Roman" w:hAnsi="Times New Roman"/>
          <w:b/>
          <w:i w:val="false"/>
          <w:color w:val="000000"/>
          <w:sz w:val="22"/>
        </w:rPr>
        <w:t xml:space="preserve">(35A) </w:t>
      </w:r>
      <w:r>
        <w:rPr>
          <w:rFonts w:ascii="Times New Roman" w:hAnsi="Times New Roman"/>
          <w:b/>
          <w:i w:val="false"/>
          <w:color w:val="000000"/>
          <w:sz w:val="22"/>
        </w:rPr>
        <w:t xml:space="preserve">Notification and 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Retroactive application to September 11, 2001.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accept a consolidated roster of eligible injured veterans from a “flag officer level command” or a central casualty notification agency of the responsible service component as long as the roster includes the following information for each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Veteran’s name, rank, and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Mailing address for check disbursement.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Telephone numbers, including day, evening, and cell 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Combat theater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on which veteran was medically evacuated from combat theater and verification of combat-related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on which medical or rehabilitative treatment was terminated. If the veteran is still receiving treatment, “inpatient” or “outpatient” shall be noted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agency submitting the consolidated roster, including point of contact (POC), telephone numbers, and 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veteran filing for the grant under retroactive eligibility must submit an injured veteran grant application form along with supporting documents. Supporting documents needed to verify eligibility shall include copies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Military ID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DD214 (if the veteran has been discharged) or military orders to document service in a combat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records or military orders to document date of medical evacuation and periods of continued medical treatment or rehabilitation;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document to establish Iowa residency at the time of injury, such as Iowa income tax forms, or to establish that the veteran is or was a member of a national guard unit located in this state prior to mobilization and was injured while serving in that national guard unit and is not eligible to receive a similar grant from another state for that injury.</w:t>
      </w:r>
    </w:p>
    <w:p>
      <w:pPr>
        <w:spacing w:before="0" w:after="0"/>
        <w:ind w:left="120"/>
        <w:jc w:val="both"/>
      </w:pPr>
      <w:r>
        <w:rPr>
          <w:rFonts w:ascii="Times New Roman" w:hAnsi="Times New Roman"/>
          <w:b w:val="false"/>
          <w:i w:val="false"/>
          <w:color w:val="000000"/>
          <w:sz w:val="22"/>
        </w:rPr>
        <w:t>A veteran may receive assistance in the application process by contacting the department office at (515)252-4698 or (800)838-4692 or by fax (515)727-3713.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Process for present and future injured veterans.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department receives official notification from a designated service office that a veteran has been medically evacuated from a combat zone, the department will confirm Iowa residency of the veteran or, in the case of a nonresident, confirm that the veteran is or was a member of a national guard unit located in this state prior to mobilization and gather the required data to disburse the first grant payment. The check will be made payable to the veteran and mailed or presented to the veteran or next of kin.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Grant payments will be stopped if the veteran is returned to duty or when medical or rehabilitative treatment is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eligible combat-injured veteran is not medically evacuated, the 30 days of continuous treatment must occur within 12 months of the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Commission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three-person subcommittee of commissioners will review applications for those veterans not evacuated but requiring 30 days of consecutive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may appeal a grant award decision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Subsequent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seriously injured veteran meeting all other requirements of this rule may receive additional grants for subsequent, unrelated injuries that meet the requirements of this rule. Any subsequent, unrelated injury shall be treated as if it were an initial injury for the purposes of determining eligibility or allotment.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Grants for veterans suffering subsequent, unrelated injuries after September 11, 2001, but prior to March 30, 2011, shall be payable, upon a showing that the veteran would have been eligible for payment had the subsequent, unrelated injury occurred on or after March 30, 2011.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9471B</w:t>
      </w:r>
      <w:r>
        <w:rPr>
          <w:rFonts w:ascii="Times New Roman" w:hAnsi="Times New Roman"/>
          <w:b w:val="false"/>
          <w:i w:val="false"/>
          <w:color w:val="000000"/>
          <w:sz w:val="16"/>
        </w:rPr>
        <w:t>, IAB 4/20/11, effective 3/31/11</w:t>
      </w:r>
      <w:r>
        <w:rPr>
          <w:rFonts w:ascii="Times New Roman" w:hAnsi="Times New Roman"/>
          <w:b w:val="false"/>
          <w:i w:val="false"/>
          <w:color w:val="000000"/>
          <w:sz w:val="16"/>
        </w:rPr>
        <w:t xml:space="preserve">; </w:t>
      </w:r>
      <w:r>
        <w:rPr>
          <w:rFonts w:ascii="Times New Roman" w:hAnsi="Times New Roman"/>
          <w:b/>
          <w:i w:val="false"/>
          <w:color w:val="000000"/>
          <w:sz w:val="16"/>
        </w:rPr>
        <w:t>ARC 0057C</w:t>
      </w:r>
      <w:r>
        <w:rPr>
          <w:rFonts w:ascii="Times New Roman" w:hAnsi="Times New Roman"/>
          <w:b w:val="false"/>
          <w:i w:val="false"/>
          <w:color w:val="000000"/>
          <w:sz w:val="16"/>
        </w:rPr>
        <w:t>, IAB 4/4/12, effective 5/9/12</w:t>
      </w:r>
      <w:r>
        <w:rPr>
          <w:rFonts w:ascii="Times New Roman" w:hAnsi="Times New Roman"/>
          <w:b w:val="false"/>
          <w:i w:val="false"/>
          <w:color w:val="000000"/>
          <w:sz w:val="16"/>
        </w:rPr>
        <w:t xml:space="preserve">; </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801—11.5</w:t>
      </w:r>
      <w:r>
        <w:rPr>
          <w:rFonts w:ascii="Times New Roman" w:hAnsi="Times New Roman"/>
          <w:b/>
          <w:i w:val="false"/>
          <w:color w:val="000000"/>
          <w:sz w:val="22"/>
        </w:rPr>
        <w:t xml:space="preserve">(35A) </w:t>
      </w:r>
      <w:r>
        <w:rPr>
          <w:rFonts w:ascii="Times New Roman" w:hAnsi="Times New Roman"/>
          <w:b/>
          <w:i w:val="false"/>
          <w:color w:val="000000"/>
          <w:sz w:val="22"/>
        </w:rPr>
        <w:t xml:space="preserve">Taxability. </w:t>
      </w:r>
      <w:r>
        <w:rPr>
          <w:rFonts w:ascii="Times New Roman" w:hAnsi="Times New Roman"/>
          <w:b w:val="false"/>
          <w:i w:val="false"/>
          <w:color w:val="000000"/>
          <w:sz w:val="22"/>
        </w:rPr>
        <w:t>An injured veterans grant is exempt from Iowa income tax since the intent of the grant is to reimburse a veteran for family travel and lodging costs during the veteran’s medical treatment and rehabilitation.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35A.14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2011 Iowa Acts, Senate File 402</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6/7/06—published 7/5/06, effective 6/7/06]</w:t>
      </w:r>
    </w:p>
    <w:p>
      <w:pPr>
        <w:spacing w:before="0" w:after="0"/>
        <w:ind w:left="120"/>
        <w:jc w:val="center"/>
      </w:pPr>
      <w:r>
        <w:rPr>
          <w:rFonts w:ascii="Times New Roman" w:hAnsi="Times New Roman"/>
          <w:b w:val="false"/>
          <w:i w:val="false"/>
          <w:color w:val="000000"/>
          <w:sz w:val="21"/>
        </w:rPr>
        <w:t>[Filed emergency 7/12/07—published 8/1/07, effective 7/12/07]</w:t>
      </w:r>
    </w:p>
    <w:p>
      <w:pPr>
        <w:spacing w:before="0" w:after="0"/>
        <w:ind w:left="120"/>
        <w:jc w:val="center"/>
      </w:pPr>
      <w:r>
        <w:rPr>
          <w:rFonts w:ascii="Times New Roman" w:hAnsi="Times New Roman"/>
          <w:b w:val="false"/>
          <w:i w:val="false"/>
          <w:color w:val="000000"/>
          <w:sz w:val="21"/>
        </w:rPr>
        <w:t>[Filed Emergency ARC 9471B, IAB 4/20/11, effective 3/31/11]</w:t>
      </w:r>
    </w:p>
    <w:p>
      <w:pPr>
        <w:spacing w:before="0" w:after="0"/>
        <w:ind w:left="120"/>
        <w:jc w:val="center"/>
      </w:pPr>
      <w:r>
        <w:rPr>
          <w:rFonts w:ascii="Times New Roman" w:hAnsi="Times New Roman"/>
          <w:b w:val="false"/>
          <w:i w:val="false"/>
          <w:color w:val="000000"/>
          <w:sz w:val="21"/>
        </w:rPr>
        <w:t>[Filed ARC 0057C</w:t>
      </w:r>
      <w:r>
        <w:rPr>
          <w:rFonts w:ascii="Times New Roman" w:hAnsi="Times New Roman"/>
          <w:b w:val="false"/>
          <w:i w:val="false"/>
          <w:color w:val="000000"/>
          <w:sz w:val="21"/>
        </w:rPr>
        <w:t xml:space="preserve"> (Notice ARC 9939B, IAB 12/28/11)</w:t>
      </w:r>
      <w:r>
        <w:rPr>
          <w:rFonts w:ascii="Times New Roman" w:hAnsi="Times New Roman"/>
          <w:b w:val="false"/>
          <w:i w:val="false"/>
          <w:color w:val="000000"/>
          <w:sz w:val="21"/>
        </w:rPr>
        <w:t>, IAB 4/4/12, effective 5/9/12]</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4987C</w:t>
      </w:r>
      <w:r>
        <w:rPr>
          <w:rFonts w:ascii="Times New Roman" w:hAnsi="Times New Roman"/>
          <w:b w:val="false"/>
          <w:i w:val="false"/>
          <w:color w:val="000000"/>
          <w:sz w:val="21"/>
        </w:rPr>
        <w:t xml:space="preserve"> (Notice ARC 4767C, IAB 11/20/19)</w:t>
      </w:r>
      <w:r>
        <w:rPr>
          <w:rFonts w:ascii="Times New Roman" w:hAnsi="Times New Roman"/>
          <w:b w:val="false"/>
          <w:i w:val="false"/>
          <w:color w:val="000000"/>
          <w:sz w:val="21"/>
        </w:rPr>
        <w:t>, IAB 3/11/20, effective 4/15/20]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01.11.3.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35A.14.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