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GENERAL PROVISIONS FOR ELDER GROUP HOMES, ASSISTED LIVING</w:t>
      </w:r>
      <w:r>
        <w:br/>
      </w:r>
      <w:r>
        <w:rPr>
          <w:rFonts w:ascii="Times New Roman" w:hAnsi="Times New Roman"/>
          <w:b w:val="false"/>
          <w:i w:val="false"/>
          <w:color w:val="000000"/>
          <w:sz w:val="21"/>
        </w:rPr>
        <w:t xml:space="preserve"> PROGRAMS, AND 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481—67.1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481—Chapters </w:t>
      </w:r>
      <w:hyperlink r:id="rId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“ambulation”</w:t>
      </w:r>
      <w:r>
        <w:rPr>
          <w:rFonts w:ascii="Times New Roman" w:hAnsi="Times New Roman"/>
          <w:b w:val="false"/>
          <w:i w:val="false"/>
          <w:color w:val="000000"/>
          <w:sz w:val="22"/>
        </w:rPr>
        <w:t> </w:t>
      </w:r>
      <w:r>
        <w:rPr>
          <w:rFonts w:ascii="Times New Roman" w:hAnsi="Times New Roman"/>
          <w:b w:val="false"/>
          <w:i w:val="false"/>
          <w:color w:val="000000"/>
          <w:sz w:val="22"/>
        </w:rPr>
        <w:t>means physically and cognitively able to walk without aid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chapters </w:t>
      </w:r>
      <w:hyperlink r:id="rId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this chapter, and 481—Chapters </w:t>
      </w:r>
      <w:hyperlink r:id="rId1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 as applicable,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w:t>
      </w:r>
      <w:r>
        <w:rPr>
          <w:rFonts w:ascii="Times New Roman" w:hAnsi="Times New Roman"/>
          <w:b w:val="false"/>
          <w:i w:val="false"/>
          <w:color w:val="000000"/>
          <w:sz w:val="22"/>
        </w:rPr>
        <w:t> </w:t>
      </w:r>
      <w:r>
        <w:rPr>
          <w:rFonts w:ascii="Times New Roman" w:hAnsi="Times New Roman"/>
          <w:b w:val="false"/>
          <w:i w:val="false"/>
          <w:color w:val="000000"/>
          <w:sz w:val="22"/>
        </w:rPr>
        <w:t>means aid to a tenant who self-directs or participates in a task or activity or who retains the mental or physical ability, or both, to participate in a task or activity. Cueing of the tenant regarding a particular task or activity means the tenant has participated in the task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staff”</w:t>
      </w:r>
      <w:r>
        <w:rPr>
          <w:rFonts w:ascii="Times New Roman" w:hAnsi="Times New Roman"/>
          <w:b w:val="false"/>
          <w:i w:val="false"/>
          <w:color w:val="000000"/>
          <w:sz w:val="22"/>
        </w:rPr>
        <w:t> </w:t>
      </w:r>
      <w:r>
        <w:rPr>
          <w:rFonts w:ascii="Times New Roman" w:hAnsi="Times New Roman"/>
          <w:b w:val="false"/>
          <w:i w:val="false"/>
          <w:color w:val="000000"/>
          <w:sz w:val="22"/>
        </w:rPr>
        <w:t>means certified nursing assistants (CNAs) and certified medication assistants (CMAs)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w:t>
      </w:r>
      <w:r>
        <w:rPr>
          <w:rFonts w:ascii="Times New Roman" w:hAnsi="Times New Roman"/>
          <w:b w:val="false"/>
          <w:i w:val="false"/>
          <w:color w:val="000000"/>
          <w:sz w:val="22"/>
        </w:rPr>
        <w:t> </w:t>
      </w:r>
      <w:r>
        <w:rPr>
          <w:rFonts w:ascii="Times New Roman" w:hAnsi="Times New Roman"/>
          <w:b w:val="false"/>
          <w:i w:val="false"/>
          <w:color w:val="000000"/>
          <w:sz w:val="22"/>
        </w:rPr>
        <w:t>means an illness characterized by multiple cognitive deficits that represent a decline from previous levels of functioning and includes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the physical presence of the licensed nurse to observe and direct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“Elope”</w:t>
      </w:r>
      <w:r>
        <w:rPr>
          <w:rFonts w:ascii="Times New Roman" w:hAnsi="Times New Roman"/>
          <w:b w:val="false"/>
          <w:i w:val="false"/>
          <w:color w:val="000000"/>
          <w:sz w:val="22"/>
        </w:rPr>
        <w:t> </w:t>
      </w:r>
      <w:r>
        <w:rPr>
          <w:rFonts w:ascii="Times New Roman" w:hAnsi="Times New Roman"/>
          <w:b w:val="false"/>
          <w:i w:val="false"/>
          <w:color w:val="000000"/>
          <w:sz w:val="22"/>
        </w:rPr>
        <w:t>means that a tenant who has impaired decision-making ability leaves the program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“Global Deterioration Scale”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“GDS”</w:t>
      </w:r>
      <w:r>
        <w:rPr>
          <w:rFonts w:ascii="Times New Roman" w:hAnsi="Times New Roman"/>
          <w:b w:val="false"/>
          <w:i w:val="false"/>
          <w:color w:val="000000"/>
          <w:sz w:val="22"/>
        </w:rPr>
        <w:t> </w:t>
      </w:r>
      <w:r>
        <w:rPr>
          <w:rFonts w:ascii="Times New Roman" w:hAnsi="Times New Roman"/>
          <w:b w:val="false"/>
          <w:i w:val="false"/>
          <w:color w:val="000000"/>
          <w:sz w:val="22"/>
        </w:rPr>
        <w:t>means the seven-stage scale for assessment of primary degenerative dementia developed by Dr. Barry Reisberg.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 physician, physician associate, registered nurse, licensed practical nurse via RN delegation or advanced registered nurse practitioner licensed in Iowa by the respective licensing board or eligible to practice in Iowa through compact licensure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“Health-related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231B.1(5)</w:t>
        </w:r>
      </w:hyperlink>
      <w:r>
        <w:rPr>
          <w:rFonts w:ascii="Times New Roman" w:hAnsi="Times New Roman"/>
          <w:b w:val="false"/>
          <w:i w:val="false"/>
          <w:color w:val="000000"/>
          <w:sz w:val="22"/>
        </w:rPr>
        <w:t xml:space="preserve"> and includes nurse-delegated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service professional”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a bachelor’s degree in a human service field, including but not limited to human services, gerontology, social work, sociology, psychology, or family science. Two years of experience in a human service field may be substituted for up to two years of the required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“Impaired decision-making ability”</w:t>
      </w:r>
      <w:r>
        <w:rPr>
          <w:rFonts w:ascii="Times New Roman" w:hAnsi="Times New Roman"/>
          <w:b w:val="false"/>
          <w:i w:val="false"/>
          <w:color w:val="000000"/>
          <w:sz w:val="22"/>
        </w:rPr>
        <w:t> </w:t>
      </w:r>
      <w:r>
        <w:rPr>
          <w:rFonts w:ascii="Times New Roman" w:hAnsi="Times New Roman"/>
          <w:b w:val="false"/>
          <w:i w:val="false"/>
          <w:color w:val="000000"/>
          <w:sz w:val="22"/>
        </w:rPr>
        <w:t>means a lack of capacity to make safe and prudent decisions regarding one’s own routine safety as determined by the program manager or nurse or means having a GDS score of five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reviewer”</w:t>
      </w:r>
      <w:r>
        <w:rPr>
          <w:rFonts w:ascii="Times New Roman" w:hAnsi="Times New Roman"/>
          <w:b w:val="false"/>
          <w:i w:val="false"/>
          <w:color w:val="000000"/>
          <w:sz w:val="22"/>
        </w:rPr>
        <w:t> </w:t>
      </w:r>
      <w:r>
        <w:rPr>
          <w:rFonts w:ascii="Times New Roman" w:hAnsi="Times New Roman"/>
          <w:b w:val="false"/>
          <w:i w:val="false"/>
          <w:color w:val="000000"/>
          <w:sz w:val="22"/>
        </w:rPr>
        <w:t>means an attorney licensed in the state of Iowa who is not currently and has not been employed by the department in the past eight years, or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means other than direct supervision, including written and verbal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“Instrumental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that reflect the tenant’s ability to perform household and other tasks necessary to meet the tenant’s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the proximate area”</w:t>
      </w:r>
      <w:r>
        <w:rPr>
          <w:rFonts w:ascii="Times New Roman" w:hAnsi="Times New Roman"/>
          <w:b w:val="false"/>
          <w:i w:val="false"/>
          <w:color w:val="000000"/>
          <w:sz w:val="22"/>
        </w:rPr>
        <w:t> </w:t>
      </w:r>
      <w:r>
        <w:rPr>
          <w:rFonts w:ascii="Times New Roman" w:hAnsi="Times New Roman"/>
          <w:b w:val="false"/>
          <w:i w:val="false"/>
          <w:color w:val="000000"/>
          <w:sz w:val="22"/>
        </w:rPr>
        <w:t>means an area located within a five-minute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setup”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231B.1(6)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addition to or change in physical dimensions or structure, except as incidental to the customary maintenance of the physical structure of the program’s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w:t>
      </w:r>
      <w:r>
        <w:rPr>
          <w:rFonts w:ascii="Times New Roman" w:hAnsi="Times New Roman"/>
          <w:b w:val="false"/>
          <w:i w:val="false"/>
          <w:color w:val="000000"/>
          <w:sz w:val="22"/>
        </w:rPr>
        <w:t> </w:t>
      </w:r>
      <w:r>
        <w:rPr>
          <w:rFonts w:ascii="Times New Roman" w:hAnsi="Times New Roman"/>
          <w:b w:val="false"/>
          <w:i w:val="false"/>
          <w:color w:val="000000"/>
          <w:sz w:val="22"/>
        </w:rPr>
        <w:t>means an on-site evaluation of a program, a complaint investigation, or a program-reported incident investigation performed by the department to determine compliance with applicable requirements. A monitor who performs a monitoring for the department shall be a registered nurse, human service professional, or another person with program-related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been certified but has not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“Noncertified staff”</w:t>
      </w:r>
      <w:r>
        <w:rPr>
          <w:rFonts w:ascii="Times New Roman" w:hAnsi="Times New Roman"/>
          <w:b w:val="false"/>
          <w:i w:val="false"/>
          <w:color w:val="000000"/>
          <w:sz w:val="22"/>
        </w:rPr>
        <w:t> </w:t>
      </w:r>
      <w:r>
        <w:rPr>
          <w:rFonts w:ascii="Times New Roman" w:hAnsi="Times New Roman"/>
          <w:b w:val="false"/>
          <w:i w:val="false"/>
          <w:color w:val="000000"/>
          <w:sz w:val="22"/>
        </w:rPr>
        <w:t>means unlicensed and uncertified personnel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delegation”</w:t>
      </w:r>
      <w:r>
        <w:rPr>
          <w:rFonts w:ascii="Times New Roman" w:hAnsi="Times New Roman"/>
          <w:b w:val="false"/>
          <w:i w:val="false"/>
          <w:color w:val="000000"/>
          <w:sz w:val="22"/>
        </w:rPr>
        <w:t> </w:t>
      </w:r>
      <w:r>
        <w:rPr>
          <w:rFonts w:ascii="Times New Roman" w:hAnsi="Times New Roman"/>
          <w:b w:val="false"/>
          <w:i w:val="false"/>
          <w:color w:val="000000"/>
          <w:sz w:val="22"/>
        </w:rPr>
        <w:t>means the action of a registered nurse, advanced registered nurse practitioner, or licensed practical nurse to direct competent certified and noncertified staff to perform selected nursing tasks in selected situations. The decision of a nurse to delegate is based on the delegation process, including assessment, planning, implementation, supervision, and evaluation of the tenant, nursing tasks, personnel, and the situation. The nurse, as a licensed professional, retains accountability for the delegation process and the decision to delegate. Licensed practical nurses may delegate within the scope of their license with the supervision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“contractual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20">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231C.2(9)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“Part-time or intermittent care”</w:t>
      </w:r>
      <w:r>
        <w:rPr>
          <w:rFonts w:ascii="Times New Roman" w:hAnsi="Times New Roman"/>
          <w:b w:val="false"/>
          <w:i w:val="false"/>
          <w:color w:val="000000"/>
          <w:sz w:val="22"/>
        </w:rPr>
        <w:t> </w:t>
      </w:r>
      <w:r>
        <w:rPr>
          <w:rFonts w:ascii="Times New Roman" w:hAnsi="Times New Roman"/>
          <w:b w:val="false"/>
          <w:i w:val="false"/>
          <w:color w:val="000000"/>
          <w:sz w:val="22"/>
        </w:rPr>
        <w:t>means licensed nursing services and professional therapies that are provided in combination with nurse-delegated assistance with medications or activities of daily living and do not exceed 28 hours per week or, for adult day services, 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231B.1(8)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the evidence”</w:t>
      </w:r>
      <w:r>
        <w:rPr>
          <w:rFonts w:ascii="Times New Roman" w:hAnsi="Times New Roman"/>
          <w:b w:val="false"/>
          <w:i w:val="false"/>
          <w:color w:val="000000"/>
          <w:sz w:val="22"/>
        </w:rPr>
        <w:t>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one or more of the following, as applicable: an elder group home as defined in Iowa Code section </w:t>
      </w:r>
      <w:hyperlink r:id="rId23">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68</w:t>
        </w:r>
      </w:hyperlink>
      <w:r>
        <w:rPr>
          <w:rFonts w:ascii="Times New Roman" w:hAnsi="Times New Roman"/>
          <w:b w:val="false"/>
          <w:i w:val="false"/>
          <w:color w:val="000000"/>
          <w:sz w:val="22"/>
        </w:rPr>
        <w:t xml:space="preserve">, an assisted living program as defined in Iowa Code section </w:t>
      </w:r>
      <w:hyperlink r:id="rId25">
        <w:r>
          <w:rPr>
            <w:rStyle w:val="Hyperlink"/>
            <w:rFonts w:ascii="Times New Roman" w:hAnsi="Times New Roman"/>
            <w:b w:val="false"/>
            <w:i w:val="false"/>
            <w:color w:val="000000"/>
            <w:sz w:val="22"/>
          </w:rPr>
          <w:t>231C.1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 xml:space="preserve">, or adult day services as defined in Iowa Code section </w:t>
      </w:r>
      <w:hyperlink r:id="rId27">
        <w:r>
          <w:rPr>
            <w:rStyle w:val="Hyperlink"/>
            <w:rFonts w:ascii="Times New Roman" w:hAnsi="Times New Roman"/>
            <w:b w:val="false"/>
            <w:i w:val="false"/>
            <w:color w:val="000000"/>
            <w:sz w:val="22"/>
          </w:rPr>
          <w:t>231D.1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staff”</w:t>
      </w:r>
      <w:r>
        <w:rPr>
          <w:rFonts w:ascii="Times New Roman" w:hAnsi="Times New Roman"/>
          <w:b w:val="false"/>
          <w:i w:val="false"/>
          <w:color w:val="000000"/>
          <w:sz w:val="22"/>
        </w:rPr>
        <w:t> </w:t>
      </w:r>
      <w:r>
        <w:rPr>
          <w:rFonts w:ascii="Times New Roman" w:hAnsi="Times New Roman"/>
          <w:b w:val="false"/>
          <w:i w:val="false"/>
          <w:color w:val="000000"/>
          <w:sz w:val="22"/>
        </w:rPr>
        <w:t>means all employees of the program, regardless of certification or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professional”</w:t>
      </w:r>
      <w:r>
        <w:rPr>
          <w:rFonts w:ascii="Times New Roman" w:hAnsi="Times New Roman"/>
          <w:b w:val="false"/>
          <w:i w:val="false"/>
          <w:color w:val="000000"/>
          <w:sz w:val="22"/>
        </w:rPr>
        <w:t> </w:t>
      </w:r>
      <w:r>
        <w:rPr>
          <w:rFonts w:ascii="Times New Roman" w:hAnsi="Times New Roman"/>
          <w:b w:val="false"/>
          <w:i w:val="false"/>
          <w:color w:val="000000"/>
          <w:sz w:val="22"/>
        </w:rPr>
        <w:t>means a facility plant engineer familiar with the type of program being provided, or a licensed plumbing, heating, cooling, or electrical contractor who furnishes regular service to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accrediting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29">
        <w:r>
          <w:rPr>
            <w:rStyle w:val="Hyperlink"/>
            <w:rFonts w:ascii="Times New Roman" w:hAnsi="Times New Roman"/>
            <w:b w:val="false"/>
            <w:i w:val="false"/>
            <w:color w:val="000000"/>
            <w:sz w:val="22"/>
          </w:rPr>
          <w:t>231C.2(11)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231D.1(11)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insufficiency”</w:t>
      </w:r>
      <w:r>
        <w:rPr>
          <w:rFonts w:ascii="Times New Roman" w:hAnsi="Times New Roman"/>
          <w:b w:val="false"/>
          <w:i w:val="false"/>
          <w:color w:val="000000"/>
          <w:sz w:val="22"/>
        </w:rPr>
        <w:t> </w:t>
      </w:r>
      <w:r>
        <w:rPr>
          <w:rFonts w:ascii="Times New Roman" w:hAnsi="Times New Roman"/>
          <w:b w:val="false"/>
          <w:i w:val="false"/>
          <w:color w:val="000000"/>
          <w:sz w:val="22"/>
        </w:rPr>
        <w:t>means a violation of an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or manual method that restricts freedom of movement or normal access to one’s body or any physical or mechanical device, material or equipment that is attached or adjacent to the tenant’s body that the tenant cannot remove easily and that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w:t>
      </w:r>
      <w:r>
        <w:rPr>
          <w:rFonts w:ascii="Times New Roman" w:hAnsi="Times New Roman"/>
          <w:b w:val="false"/>
          <w:i w:val="false"/>
          <w:color w:val="000000"/>
          <w:sz w:val="22"/>
        </w:rPr>
        <w:t> </w:t>
      </w:r>
      <w:r>
        <w:rPr>
          <w:rFonts w:ascii="Times New Roman" w:hAnsi="Times New Roman"/>
          <w:b w:val="false"/>
          <w:i w:val="false"/>
          <w:color w:val="000000"/>
          <w:sz w:val="22"/>
        </w:rPr>
        <w:t>means more often than not or on a regular customary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“Self-administration”</w:t>
      </w:r>
      <w:r>
        <w:rPr>
          <w:rFonts w:ascii="Times New Roman" w:hAnsi="Times New Roman"/>
          <w:b w:val="false"/>
          <w:i w:val="false"/>
          <w:color w:val="000000"/>
          <w:sz w:val="22"/>
        </w:rPr>
        <w:t> </w:t>
      </w:r>
      <w:r>
        <w:rPr>
          <w:rFonts w:ascii="Times New Roman" w:hAnsi="Times New Roman"/>
          <w:b w:val="false"/>
          <w:i w:val="false"/>
          <w:color w:val="000000"/>
          <w:sz w:val="22"/>
        </w:rPr>
        <w:t>means a tenant’s taking personal responsibility for all phases of medication except for any component assigned to the program under medication setup, and may include the tenant’s use of an automatic pill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the document that defines all services necessary to meet the needs and preferences of a tenant, whether or not the services are provided by the program or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change”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231C.2(12)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231C.2(13)</w:t>
        </w:r>
      </w:hyperlink>
      <w:r>
        <w:rPr>
          <w:rFonts w:ascii="Times New Roman" w:hAnsi="Times New Roman"/>
          <w:b w:val="false"/>
          <w:i w:val="false"/>
          <w:color w:val="000000"/>
          <w:sz w:val="22"/>
        </w:rPr>
        <w:t xml:space="preserve"> regarding a level of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33">
        <w:r>
          <w:rPr>
            <w:rStyle w:val="Hyperlink"/>
            <w:rFonts w:ascii="Times New Roman" w:hAnsi="Times New Roman"/>
            <w:b w:val="false"/>
            <w:i w:val="false"/>
            <w:color w:val="000000"/>
            <w:sz w:val="22"/>
          </w:rPr>
          <w:t>231B.1(9)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231C.2(14)</w:t>
        </w:r>
      </w:hyperlink>
      <w:r>
        <w:rPr>
          <w:rFonts w:ascii="Times New Roman" w:hAnsi="Times New Roman"/>
          <w:b w:val="false"/>
          <w:i w:val="false"/>
          <w:color w:val="000000"/>
          <w:sz w:val="22"/>
        </w:rPr>
        <w:t xml:space="preserve">. In the context of adult day services, “tenant” means a “participant” as defined in </w:t>
      </w:r>
      <w:hyperlink r:id="rId35">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231B.1(10)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“Tenant’s legal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231B.1(11)</w:t>
        </w:r>
      </w:hyperlink>
      <w:r>
        <w:rPr>
          <w:rFonts w:ascii="Times New Roman" w:hAnsi="Times New Roman"/>
          <w:b w:val="false"/>
          <w:i w:val="false"/>
          <w:color w:val="000000"/>
          <w:sz w:val="22"/>
        </w:rPr>
        <w:t xml:space="preserve">. In the context of adult day services, “tenant’s legal representative” means a “participant’s legal representative” as defined in </w:t>
      </w:r>
      <w:hyperlink r:id="rId3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A program’s policies and procedures must meet the minimum standards set by applicable requirements. All programs shall have policies and procedures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of incidents, including allegations of dependent adult abuse on incident report forms to provide a detailed incident report completed at the time of the incident and include statements from individuals, if any, who witnessed the incident. The program will identify in the program’s policy who of the program staff is responsible for completion of the initial report. The report will remain accessible for a minimum of three years. All accidents or unusual occurrences within the program’s building or on the premises that affect tenants will be reported as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consistent with Iowa Code chapter </w:t>
      </w:r>
      <w:hyperlink r:id="rId3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rules adopted pursuant to that chapter and, at a minimum, reporting requirements for staff and employees, and requirements that the victim and alleged abuser be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each tenant or participant. A copy of the evaluation tool or tools to be used to identify the functional, cognitive and health status of each tenant or participant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needs of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Food service, including policies and procedures related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Emergencies, including policies and procedures related to natural disasters, with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Managing risk and upholding tenant or participant autonomy when decision-making results in poor outcomes for the tenant or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Accidents and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Addressing sexual relationships between tenants and staff and between tenants with dementia greater than Stage 5 on the Global Deterioration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including policies and procedures related to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Narcotics protocol, including policies and procedures related to reconciliation and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The program shall follow the policies and procedures established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481—67.3</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Tenant rights. </w:t>
      </w:r>
      <w:r>
        <w:rPr>
          <w:rFonts w:ascii="Times New Roman" w:hAnsi="Times New Roman"/>
          <w:b w:val="false"/>
          <w:i w:val="false"/>
          <w:color w:val="000000"/>
          <w:sz w:val="22"/>
        </w:rPr>
        <w:t>All tenants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To be treated with consideration, respect, and full recognition of personal dignity and autonomy.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To receive care, treatment and services that are adequate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val="false"/>
          <w:color w:val="000000"/>
          <w:sz w:val="22"/>
        </w:rPr>
        <w:t>To receive respect and privacy in the tenant’s medical care program. Personal and medical records shall be confidential, and the written consent of the tenant obtained for the records’ release to any individual, including family members, except as needed in case of the tenant’s transfer to a health care facility or as required by law or a third-party payment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val="false"/>
          <w:color w:val="000000"/>
          <w:sz w:val="22"/>
        </w:rPr>
        <w:t>To be free from mental and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val="false"/>
          <w:color w:val="000000"/>
          <w:sz w:val="22"/>
        </w:rPr>
        <w:t>To receive from the manager and staff of the program a reasonable response to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val="false"/>
          <w:color w:val="000000"/>
          <w:sz w:val="22"/>
        </w:rPr>
        <w:t>To associate and communicate privately and without restriction with persons and groups of the tenant’s choice, including the tenant advocate, on the tenant’s initiative or on the initiative of the persons or groups at any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val="false"/>
          <w:color w:val="000000"/>
          <w:sz w:val="22"/>
        </w:rPr>
        <w:t>To manage the tenant’s own financial affairs unless a tenant’s legal representative has been appointed for the purpose of managing the tenant’s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val="false"/>
          <w:color w:val="000000"/>
          <w:sz w:val="22"/>
        </w:rPr>
        <w:t>To present grievances and recommend changes in program policies and services, personally or through other persons or in combination with others, to the program’s staff or person in charge without fear of reprisal, restraint, interference, coercion, or 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67.3(9)</w:t>
      </w:r>
      <w:r>
        <w:rPr>
          <w:rFonts w:ascii="Times New Roman" w:hAnsi="Times New Roman"/>
          <w:b w:val="false"/>
          <w:i w:val="false"/>
          <w:color w:val="000000"/>
          <w:sz w:val="22"/>
        </w:rPr>
        <w:t> </w:t>
      </w:r>
      <w:r>
        <w:rPr>
          <w:rFonts w:ascii="Times New Roman" w:hAnsi="Times New Roman"/>
          <w:b w:val="false"/>
          <w:i w:val="false"/>
          <w:color w:val="000000"/>
          <w:sz w:val="22"/>
        </w:rPr>
        <w:t>To be free from restraints.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481—67.4</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notification to the department. </w:t>
      </w:r>
      <w:r>
        <w:rPr>
          <w:rFonts w:ascii="Times New Roman" w:hAnsi="Times New Roman"/>
          <w:b w:val="false"/>
          <w:i w:val="false"/>
          <w:color w:val="000000"/>
          <w:sz w:val="22"/>
        </w:rPr>
        <w:t>The director or the director’s designee shall be notified within 24 hours, or the next business day, by the most expeditious means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 including a substantial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is defined as any injury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tenant, and the tenant’s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ambulatory tenant who falls when neither the program nor its employees have culpability related to the fall, even if the tenant sustains a major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When damage to the program is caused by a natural or other disaster, including physical impairments affecting operating (e.g., failure of a heating or cooling system or water heater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tenant or when a program has knowledge of a pattern of acts committed by the same tenant on another tenant that results in any physical injury.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val="false"/>
          <w:color w:val="000000"/>
          <w:sz w:val="22"/>
        </w:rPr>
        <w:t>When a tenant elopes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67.4(5)</w:t>
      </w:r>
      <w:r>
        <w:rPr>
          <w:rFonts w:ascii="Times New Roman" w:hAnsi="Times New Roman"/>
          <w:b w:val="false"/>
          <w:i w:val="false"/>
          <w:color w:val="000000"/>
          <w:sz w:val="22"/>
        </w:rPr>
        <w:t> </w:t>
      </w:r>
      <w:r>
        <w:rPr>
          <w:rFonts w:ascii="Times New Roman" w:hAnsi="Times New Roman"/>
          <w:b w:val="false"/>
          <w:i w:val="false"/>
          <w:color w:val="000000"/>
          <w:sz w:val="22"/>
        </w:rPr>
        <w:t>When a tenant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program and the fire requires the notification of emergency services, requires full or partial evacuation of the program, or causes physical injury to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chapters </w:t>
      </w:r>
      <w:hyperlink r:id="rId40">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481—67.5</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handles, stores, or administers controlled substances, the program shall be registered with the Iowa board of pharmacy as a care facility in accordance with </w:t>
      </w:r>
      <w:hyperlink r:id="rId42">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Each program shall follow its own written medication policy,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not prohibit a tenant from self-administering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tenant will self-administer medications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tenant or the tenant’s legal representative delegates in the occupancy agreement or signed service plan any portion of medication setup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tenant delegates medication setup to someone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assumes partial control of medication setup at the direction of the tenant. The medication plan will not be implemented by the program unless the program deems it appropriate under applicable requirements, including those in Iowa Code section </w:t>
      </w:r>
      <w:hyperlink r:id="rId43">
        <w:r>
          <w:rPr>
            <w:rStyle w:val="Hyperlink"/>
            <w:rFonts w:ascii="Times New Roman" w:hAnsi="Times New Roman"/>
            <w:b w:val="false"/>
            <w:i w:val="false"/>
            <w:color w:val="000000"/>
            <w:sz w:val="22"/>
          </w:rPr>
          <w:t>231C.16A</w:t>
        </w:r>
      </w:hyperlink>
      <w:r>
        <w:rPr>
          <w:rFonts w:ascii="Times New Roman" w:hAnsi="Times New Roman"/>
          <w:b w:val="false"/>
          <w:i w:val="false"/>
          <w:color w:val="000000"/>
          <w:sz w:val="22"/>
        </w:rPr>
        <w:t xml:space="preserve"> and subrule </w:t>
      </w:r>
      <w:hyperlink r:id="rId44">
        <w:r>
          <w:rPr>
            <w:rStyle w:val="Hyperlink"/>
            <w:rFonts w:ascii="Times New Roman" w:hAnsi="Times New Roman"/>
            <w:b w:val="false"/>
            <w:i w:val="false"/>
            <w:color w:val="000000"/>
            <w:sz w:val="22"/>
          </w:rPr>
          <w:t>67.9(4)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tenant will keep medications in the tenant’s possession unless the tenant or the tenant’s legal representative, if applicable, delegates in the occupancy agreement or signed service plan partial or complete control of medications to the program, including the tenant’s choice related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tenant has delegated medication administration to the program, the program will maintain a list of the tenant’s medications. If the tenant self-administers medications, the tenant may choose to maintain a list of medications in the tenant’s apartment or to disclose a current list of medications to the program for the purpose of emergency response, but the tenant remains responsible for the accuracy of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medications are administered traditionally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medications will be provided by a registered nurse, licensed practical nurse or advanced registered nurse practitioner registered in Iowa, by an individual who has successfully completed a department-approved medication aide or medication manager course and passed the respective department-approved medication aide or manager examination, or by a physician associate (PA) in accordance with </w:t>
      </w:r>
      <w:hyperlink r:id="rId45">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 Injectable medications will be administered as permitted by Iowa law by a registered nurse, licensed practical nurse, advanced registered nurse practitioner, physician, pharmacist,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will maintain a list of each tenant’s medications and document the medications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Medications and treatments will be administered as prescribed by the tenant’s physician, advanced registered nurse practitioner or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481—67.6</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Another business or activity located in 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serving persons other than tenants of a program is allowed in a designated part of the physical structure in which the program is located if the other business or activity meets the requirements of applicable state and federal codes, administrative rules,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the designated part of the physical structure in which the program is located shall not interfere with the use of the program by tenants or with services provided to tenants or disturb tenants or reduce access, space, services, or staff available to tenants or necessary to meet the needs of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481—67.7</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Waiver of criteria for retention of a tenant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Time-limited waiver. </w:t>
      </w:r>
      <w:r>
        <w:rPr>
          <w:rFonts w:ascii="Times New Roman" w:hAnsi="Times New Roman"/>
          <w:b w:val="false"/>
          <w:i w:val="false"/>
          <w:color w:val="000000"/>
          <w:sz w:val="22"/>
        </w:rPr>
        <w:t>Upon receipt of a program’s request for waiver of the criteria for retention of a tenant, the department may grant a waiver of the criteria under applicable requirements for a time-limited basis. Absent extenuating circumstances, a waiver of the criteria for retention of a tenant is limited to a period of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Waiver petition procedures. </w:t>
      </w:r>
      <w:r>
        <w:rPr>
          <w:rFonts w:ascii="Times New Roman" w:hAnsi="Times New Roman"/>
          <w:b w:val="false"/>
          <w:i w:val="false"/>
          <w:color w:val="000000"/>
          <w:sz w:val="22"/>
        </w:rPr>
        <w:t>The following procedures shall be used to request and to receive approval of a waiver from criteria for the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will submit the waiver request on a form and in a manner designated by the department as soon as it becomes apparent that a tenant exceeds retention criteria pursuant to an evaluation by a health care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to a waiver request within 15 working days of receipt of all required documentation. In consultation with the program, the department may take an additional 15 working days to report its determination regarding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to the department within five working days written notification of any changes in the condition of the tenant as described in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for waiver of criteria for retention of a tenant. </w:t>
      </w:r>
      <w:r>
        <w:rPr>
          <w:rFonts w:ascii="Times New Roman" w:hAnsi="Times New Roman"/>
          <w:b w:val="false"/>
          <w:i w:val="false"/>
          <w:color w:val="000000"/>
          <w:sz w:val="22"/>
        </w:rPr>
        <w:t xml:space="preserve">In addition to the criteria established in Iowa Code section </w:t>
      </w:r>
      <w:hyperlink r:id="rId46">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the following factors may be demonstrative in determining whether the criteria for issuance of a waiver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informed choice of the tenant or the tenant’s legal representative, if applicable, to remain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able to provide the staff necessary to meet the tenant’s service needs in addition to the service needs of the other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waiver will not jeopardize the health, safety, security or welfare of the tenant, program staff, or other tenants;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tenant has been diagnosed with a terminal illness and has been admitted to hospice, and the tenant exceeds the criteria for retention and admission for a temporary period of less than six months. A terminal diagnosis means the tenant is within six months of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Conditional waiver. </w:t>
      </w:r>
      <w:r>
        <w:rPr>
          <w:rFonts w:ascii="Times New Roman" w:hAnsi="Times New Roman"/>
          <w:b w:val="false"/>
          <w:i w:val="false"/>
          <w:color w:val="000000"/>
          <w:sz w:val="22"/>
        </w:rPr>
        <w:t>A conditional waiver may be granted contingent upon the department’s receipt of additional information or performance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waiver has been in effect for six months, a monitoring may be conducted to determine whether the tenant meets the criteria to continue on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seek additional information during the period to determine if a waiver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denial of a waiver request may be appealed by the program pursuant to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481—67.8</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All other waiver requests. </w:t>
      </w:r>
      <w:r>
        <w:rPr>
          <w:rFonts w:ascii="Times New Roman" w:hAnsi="Times New Roman"/>
          <w:b w:val="false"/>
          <w:i w:val="false"/>
          <w:color w:val="000000"/>
          <w:sz w:val="22"/>
        </w:rPr>
        <w:t xml:space="preserve">Waiver requests relating to topics other than retention of a tenant in a program shall be filed in accordance with </w:t>
      </w:r>
      <w:hyperlink r:id="rId4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481—67.9</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A sufficient number of trained staff shall be available at all times to fully meet tenants’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procedures. </w:t>
      </w:r>
      <w:r>
        <w:rPr>
          <w:rFonts w:ascii="Times New Roman" w:hAnsi="Times New Roman"/>
          <w:b w:val="false"/>
          <w:i w:val="false"/>
          <w:color w:val="000000"/>
          <w:sz w:val="22"/>
        </w:rPr>
        <w:t>All program staff shall be able to implement the accident, fire 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program shall have training records and staffing schedules on file and maintain documentation of training received by program staff, including training of certified and noncertified staff on nurse-delegated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67.9(4)</w:t>
      </w:r>
      <w:r>
        <w:rPr>
          <w:rFonts w:ascii="Times New Roman" w:hAnsi="Times New Roman"/>
          <w:b w:val="false"/>
          <w:i w:val="false"/>
          <w:color w:val="000000"/>
          <w:sz w:val="22"/>
        </w:rPr>
        <w:t> </w:t>
      </w:r>
      <w:r>
        <w:rPr>
          <w:rFonts w:ascii="Times New Roman" w:hAnsi="Times New Roman"/>
          <w:b w:val="false"/>
          <w:i/>
          <w:color w:val="000000"/>
          <w:sz w:val="22"/>
        </w:rPr>
        <w:t xml:space="preserve">Nurse delegation procedures. </w:t>
      </w:r>
      <w:r>
        <w:rPr>
          <w:rFonts w:ascii="Times New Roman" w:hAnsi="Times New Roman"/>
          <w:b w:val="false"/>
          <w:i w:val="false"/>
          <w:color w:val="000000"/>
          <w:sz w:val="22"/>
        </w:rPr>
        <w:t>The program’s registered nurse shall ensure certified and noncertified staff are competent to meet the individual needs of tenants. Nurse delegation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newly hired nurse will within 60 days of beginning employment as the program’s registered nurse document a review to ensure that staff are sufficiently trained and competent in all tasks that are assigned or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beginning employment, all program staff will receive training by the program’s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for noncertified staff will include the provision of activities of daily living and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will receive training regarding service plan tasks in accordance with medical or nursing directives and the acuity of the tenants’ health, cognitive or functional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program’s nurse(s) will provide direct or indirect supervision of all direct care staff as necessary in the professional judgment of the program’s nurse(s) and in accordance with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tenants in accordance with the training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program will have in place a system by which direct care staff communicate in writing occurrences that differ from the tenant’s normal health and functional and cognitive status. The program’s nurse or designee will train staff on reporting to the program’s nurse(s) or designee(s) and documenting occurrences that differ from the tenant’s normal health and functional and cognitive status. The written communication required by this paragraph will be retained by the program for a period of not less than three years and be accessible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absence of the program’s nurse(s) due to vacation or other temporary circumstances, the nurse(s) assuming the duties of the program’s nurse(s) will have access to staff training in relation to tenant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67.9(5)</w:t>
      </w:r>
      <w:r>
        <w:rPr>
          <w:rFonts w:ascii="Times New Roman" w:hAnsi="Times New Roman"/>
          <w:b w:val="false"/>
          <w:i w:val="false"/>
          <w:color w:val="000000"/>
          <w:sz w:val="22"/>
        </w:rPr>
        <w:t> </w:t>
      </w:r>
      <w:r>
        <w:rPr>
          <w:rFonts w:ascii="Times New Roman" w:hAnsi="Times New Roman"/>
          <w:b w:val="false"/>
          <w:i/>
          <w:color w:val="000000"/>
          <w:sz w:val="22"/>
        </w:rPr>
        <w:t xml:space="preserve">Prohibited services. </w:t>
      </w:r>
      <w:r>
        <w:rPr>
          <w:rFonts w:ascii="Times New Roman" w:hAnsi="Times New Roman"/>
          <w:b w:val="false"/>
          <w:i w:val="false"/>
          <w:color w:val="000000"/>
          <w:sz w:val="22"/>
        </w:rPr>
        <w:t>A program staff member shall not be designated as attorney-in-fact, guardian, conservator, or representative payee for a tenant unless the program staff member is related to the tenant by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67.9(6)</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training. </w:t>
      </w:r>
      <w:r>
        <w:rPr>
          <w:rFonts w:ascii="Times New Roman" w:hAnsi="Times New Roman"/>
          <w:b w:val="false"/>
          <w:i w:val="false"/>
          <w:color w:val="000000"/>
          <w:sz w:val="22"/>
        </w:rPr>
        <w:t xml:space="preserve">Program staff shall receive training relating to the identification and reporting of dependent adult abuse as required by Iowa Code section </w:t>
      </w:r>
      <w:hyperlink r:id="rId4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481—67.10</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w:t>
      </w:r>
      <w:r>
        <w:rPr>
          <w:rFonts w:ascii="Times New Roman" w:hAnsi="Times New Roman"/>
          <w:b w:val="false"/>
          <w:i w:val="false"/>
          <w:color w:val="000000"/>
          <w:sz w:val="22"/>
        </w:rPr>
        <w:t>The department will monitor a certified program at least once during a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regulatory insufficiency exists. </w:t>
      </w:r>
      <w:r>
        <w:rPr>
          <w:rFonts w:ascii="Times New Roman" w:hAnsi="Times New Roman"/>
          <w:b w:val="false"/>
          <w:i w:val="false"/>
          <w:color w:val="000000"/>
          <w:sz w:val="22"/>
        </w:rPr>
        <w:t>The department will use a preponderance-of-the-evidence standard when determining whether a regulatory insufficiency exists. A preponderance-of-the-evidence standard does not require that the monitor shall have personally witnessed the alleged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Complaint and program-reported incident report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the operation or service delivery of a program may file a complaint with the Department of Inspections, Appeals, and Licensing, Complaints Unit, 6200 Park Avenue, Des Moines, Iowa 50321; by use of the complaint hotline, 1.877.686.0027; by facsimile sent to 515.281.7106; or through the website address: </w:t>
      </w:r>
      <w:hyperlink r:id="rId5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of the department’s authority, the department will forward the complaint or refer the complainant, if known,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will include as much of the following information as possible in the complaint: the complainant’s name, address and telephone number; the complainant’s relationship to the program or tenant; and the reason for the complaint. The complainant’s name shall be confidential information and shall not be released by the department. The department will act on anonymous complaints unless the department determines that the complaint is intended to harass the program. If the department, upon preliminary review, determines that the complaint is intended as harassment or is without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Program-reported incident reports. </w:t>
      </w:r>
      <w:r>
        <w:rPr>
          <w:rFonts w:ascii="Times New Roman" w:hAnsi="Times New Roman"/>
          <w:b w:val="false"/>
          <w:i w:val="false"/>
          <w:color w:val="000000"/>
          <w:sz w:val="22"/>
        </w:rPr>
        <w:t>When the program is required pursuant to applicable requirements to report an incident, the program will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website, </w:t>
      </w:r>
      <w:hyperlink r:id="rId5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complaint to the Department of Inspections, Appeals, and Licensing, Complaints Unit,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or program-reported incident reports. </w:t>
      </w:r>
      <w:r>
        <w:rPr>
          <w:rFonts w:ascii="Times New Roman" w:hAnsi="Times New Roman"/>
          <w:b w:val="false"/>
          <w:i w:val="false"/>
          <w:color w:val="000000"/>
          <w:sz w:val="22"/>
        </w:rPr>
        <w:t>Upon receipt of a complaint or program-reported incident report made in accordance with this rule, the department will conduct a preliminary review of the complaint or report to determine if a potential regulatory insufficiency has occurred. If a potential regulatory insufficiency exists, the department will institute a monitoring of the program within the following time frames: within 2 working days of receipt of the complaint or incident report if there is the possibility of immediate danger, including that the potential regulatory insufficiency has caused or is likely to cause serious injury, harm, impairment, or death to a resident; or within 20 working days of receipt of the complaint or incident report if the potential regulatory insufficiency has caused or may cause harm that negatively impacts a tenant’s mental, physical, or psychosocial status or function and is of such consequence to the tenant’s well-being that a rapid response is warranted; or within 45 working days of receipt of the complaint or incident report for any other complaint or incident investigation, including a potential regulatory insufficiency that may have caused harm of limited consequence and does not significantly impair the tenant’s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preponderance-of-the-evidence standard in determining whether or not a complaint or program-reported incident report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will notify the program and, if known, the complainant of the final report regarding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accrediting entity. </w:t>
      </w:r>
      <w:r>
        <w:rPr>
          <w:rFonts w:ascii="Times New Roman" w:hAnsi="Times New Roman"/>
          <w:b w:val="false"/>
          <w:i w:val="false"/>
          <w:color w:val="000000"/>
          <w:sz w:val="22"/>
        </w:rPr>
        <w:t>For any credible report of alleged improper or inappropriate conduct or conditions within an accredited program, the department will notify the accrediting entity by the most expeditious means possible of any actions taken by the department with respect to certification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67.11(7)</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complainant when complaint not investigated. </w:t>
      </w:r>
      <w:r>
        <w:rPr>
          <w:rFonts w:ascii="Times New Roman" w:hAnsi="Times New Roman"/>
          <w:b w:val="false"/>
          <w:i w:val="false"/>
          <w:color w:val="000000"/>
          <w:sz w:val="22"/>
        </w:rPr>
        <w:t>The department will notify the complainant if the department does not investigate a complaint, including the reasons for not investigating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481—67.12</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Exit interview, final report, plan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67.12(1)</w:t>
      </w:r>
      <w:r>
        <w:rPr>
          <w:rFonts w:ascii="Times New Roman" w:hAnsi="Times New Roman"/>
          <w:b w:val="false"/>
          <w:i w:val="false"/>
          <w:color w:val="000000"/>
          <w:sz w:val="22"/>
        </w:rPr>
        <w:t> </w:t>
      </w:r>
      <w:r>
        <w:rPr>
          <w:rFonts w:ascii="Times New Roman" w:hAnsi="Times New Roman"/>
          <w:b w:val="false"/>
          <w:i/>
          <w:color w:val="000000"/>
          <w:sz w:val="22"/>
        </w:rPr>
        <w:t xml:space="preserve">Exit interview. </w:t>
      </w:r>
      <w:r>
        <w:rPr>
          <w:rFonts w:ascii="Times New Roman" w:hAnsi="Times New Roman"/>
          <w:b w:val="false"/>
          <w:i w:val="false"/>
          <w:color w:val="000000"/>
          <w:sz w:val="22"/>
        </w:rPr>
        <w:t xml:space="preserve">The department will provide an exit interview pursuant to Iowa Code sections </w:t>
      </w:r>
      <w:hyperlink r:id="rId52">
        <w:r>
          <w:rPr>
            <w:rStyle w:val="Hyperlink"/>
            <w:rFonts w:ascii="Times New Roman" w:hAnsi="Times New Roman"/>
            <w:b w:val="false"/>
            <w:i w:val="false"/>
            <w:color w:val="000000"/>
            <w:sz w:val="22"/>
          </w:rPr>
          <w:t>231B.8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231C.8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67.12(2)</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The department will issue the final report pursuant to Iowa Code sections </w:t>
      </w:r>
      <w:hyperlink r:id="rId54">
        <w:r>
          <w:rPr>
            <w:rStyle w:val="Hyperlink"/>
            <w:rFonts w:ascii="Times New Roman" w:hAnsi="Times New Roman"/>
            <w:b w:val="false"/>
            <w:i w:val="false"/>
            <w:color w:val="000000"/>
            <w:sz w:val="22"/>
          </w:rPr>
          <w:t>231B.8(2)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231C.8(2)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67.12(3)</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ten working days following receipt of the final report, the program shall submit a plan of correction to the department,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Elements detailing how the program will correct each regulatory insufficiency, including at the system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regulatory insufficiency will be corrected not to exceed 30 days from receipt of the final report without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measures will be taken to ensure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program plans to monitor performance to ensure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required information.</w:t>
      </w:r>
    </w:p>
    <w:p>
      <w:pPr>
        <w:spacing w:before="0" w:after="0"/>
        <w:ind w:left="120"/>
        <w:jc w:val="both"/>
      </w:pPr>
      <w:r>
        <w:rPr>
          <w:rFonts w:ascii="Times New Roman" w:hAnsi="Times New Roman"/>
          <w:b w:val="false"/>
          <w:i w:val="false"/>
          <w:color w:val="000000"/>
          <w:sz w:val="22"/>
        </w:rPr>
        <w:t>The department will review the plan of correction and may request additional information or suggest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67.12(4)</w:t>
      </w:r>
      <w:r>
        <w:rPr>
          <w:rFonts w:ascii="Times New Roman" w:hAnsi="Times New Roman"/>
          <w:b w:val="false"/>
          <w:i w:val="false"/>
          <w:color w:val="000000"/>
          <w:sz w:val="22"/>
        </w:rPr>
        <w:t> </w:t>
      </w:r>
      <w:r>
        <w:rPr>
          <w:rFonts w:ascii="Times New Roman" w:hAnsi="Times New Roman"/>
          <w:b w:val="false"/>
          <w:i/>
          <w:color w:val="000000"/>
          <w:sz w:val="22"/>
        </w:rPr>
        <w:t xml:space="preserve">Monitoring revisit. </w:t>
      </w:r>
      <w:r>
        <w:rPr>
          <w:rFonts w:ascii="Times New Roman" w:hAnsi="Times New Roman"/>
          <w:b w:val="false"/>
          <w:i w:val="false"/>
          <w:color w:val="000000"/>
          <w:sz w:val="22"/>
        </w:rPr>
        <w:t xml:space="preserve">The department may conduct a monitoring revisit to ensure that the plan of correction has been implemented and the regulatory insufficiency has been corrected.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481—67.13</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Response to final report. </w:t>
      </w:r>
      <w:r>
        <w:rPr>
          <w:rFonts w:ascii="Times New Roman" w:hAnsi="Times New Roman"/>
          <w:b w:val="false"/>
          <w:i w:val="false"/>
          <w:color w:val="000000"/>
          <w:sz w:val="22"/>
        </w:rPr>
        <w:t xml:space="preserve">The program shall respond pursuant to Iowa Code sections </w:t>
      </w:r>
      <w:hyperlink r:id="rId56">
        <w:r>
          <w:rPr>
            <w:rStyle w:val="Hyperlink"/>
            <w:rFonts w:ascii="Times New Roman" w:hAnsi="Times New Roman"/>
            <w:b w:val="false"/>
            <w:i w:val="false"/>
            <w:color w:val="000000"/>
            <w:sz w:val="22"/>
          </w:rPr>
          <w:t>231B.9A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231C.9A</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231D.9A</w:t>
        </w:r>
      </w:hyperlink>
      <w:r>
        <w:rPr>
          <w:rFonts w:ascii="Times New Roman" w:hAnsi="Times New Roman"/>
          <w:b w:val="false"/>
          <w:i w:val="false"/>
          <w:color w:val="000000"/>
          <w:sz w:val="22"/>
        </w:rPr>
        <w:t xml:space="preserv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If not contesting. </w:t>
      </w:r>
      <w:r>
        <w:rPr>
          <w:rFonts w:ascii="Times New Roman" w:hAnsi="Times New Roman"/>
          <w:b w:val="false"/>
          <w:i w:val="false"/>
          <w:color w:val="000000"/>
          <w:sz w:val="22"/>
        </w:rPr>
        <w:t xml:space="preserve">If the program does not seek an informal conference or contest the final report and civil penalty, if assessed, the program shall remit to the department the amount of the civil penalty, if assessed. If a program has been assessed a civil penalty, the civil penalty will be reduced by 35 percent if the requirements of subrule </w:t>
      </w:r>
      <w:hyperlink r:id="rId59">
        <w:r>
          <w:rPr>
            <w:rStyle w:val="Hyperlink"/>
            <w:rFonts w:ascii="Times New Roman" w:hAnsi="Times New Roman"/>
            <w:b w:val="false"/>
            <w:i w:val="false"/>
            <w:color w:val="000000"/>
            <w:sz w:val="22"/>
          </w:rPr>
          <w:t>67.16(5)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regulatory insufficiency(ies)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informal conference requested: virtual or telephone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monitor’s notes for the regulatory insufficiency(ies)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The program will submit the following within ten working days from the date of the program’s written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those who will be attending the informal conference, including legal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program’s position. The program will highlight or use some other means to identify written information pertinent to the disputed regulatory insufficiency(ies). Supporting documentation that is not submitted with the request for an informal conference will not be considered, except as otherwise permitted by the independent reviewer upon good cause shown. “Good cause” means substantial or adequate grounds for failing to submit documentation in a timely manner. In determining whether the program has shown good cause, the independent reviewer shall consider what circumstances kept the program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Virtual or telephone conference. </w:t>
      </w:r>
      <w:r>
        <w:rPr>
          <w:rFonts w:ascii="Times New Roman" w:hAnsi="Times New Roman"/>
          <w:b w:val="false"/>
          <w:i w:val="false"/>
          <w:color w:val="000000"/>
          <w:sz w:val="22"/>
        </w:rPr>
        <w:t xml:space="preserve">A virtual or telephone conference, if requested, will be scheduled to occur within ten working days of the receipt of the written request, all supporting documentation and the plan of correction required by subrule </w:t>
      </w:r>
      <w:hyperlink r:id="rId60">
        <w:r>
          <w:rPr>
            <w:rStyle w:val="Hyperlink"/>
            <w:rFonts w:ascii="Times New Roman" w:hAnsi="Times New Roman"/>
            <w:b w:val="false"/>
            <w:i w:val="false"/>
            <w:color w:val="000000"/>
            <w:sz w:val="22"/>
          </w:rPr>
          <w:t>67.12(3)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The program will informally present information and explanation concerning the contested regulatory insufficiency(ies). The department will have time to respond to the program’s presentation.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by the independent reviewer during the informal conference, the program will have two working days to deliver the additional materials to the independent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exist, the program may be given one opportunity to reschedule.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The results of the informal conference will generally be sent within ten working days after the date of the informal conference or within ten working days after the receipt of additional information,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(changes in typographical/data errors) final report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submit to the department a new plan of correction for the amended or corrected report within ten calendar days from the date of the letter conveying the results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informal conference results in dismissal of a regulatory insufficiency for which a civil penalty was assessed, the corresponding civil penalty will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67.13(3)</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informal conference. </w:t>
      </w:r>
      <w:r>
        <w:rPr>
          <w:rFonts w:ascii="Times New Roman" w:hAnsi="Times New Roman"/>
          <w:b w:val="false"/>
          <w:i w:val="false"/>
          <w:color w:val="000000"/>
          <w:sz w:val="22"/>
        </w:rPr>
        <w:t>After the conclusion of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does not desire to further contest an affirmed or modified final report, the program shall, within five working days after receipt of the written decision of the independent reviewer, remit to the department the civil penalty, if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program does desire to further contest an affirmed or modified final report, the program shall, within five working days after receipt of the written decision of the independent reviewer, notify the department in writing that it desires to formally contest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hearings. </w:t>
      </w:r>
      <w:r>
        <w:rPr>
          <w:rFonts w:ascii="Times New Roman" w:hAnsi="Times New Roman"/>
          <w:b w:val="false"/>
          <w:i w:val="false"/>
          <w:color w:val="000000"/>
          <w:sz w:val="22"/>
        </w:rPr>
        <w:t xml:space="preserve">Contested case hearings shall be conducted by the department’s administrative hearings division pursuant to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481—67.14</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Denial, suspension or revocation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color w:val="000000"/>
          <w:sz w:val="22"/>
        </w:rPr>
        <w:t xml:space="preserve">Notice and request for hearing. </w:t>
      </w:r>
      <w:r>
        <w:rPr>
          <w:rFonts w:ascii="Times New Roman" w:hAnsi="Times New Roman"/>
          <w:b w:val="false"/>
          <w:i w:val="false"/>
          <w:color w:val="000000"/>
          <w:sz w:val="22"/>
        </w:rPr>
        <w:t xml:space="preserve">The denial, suspension or revocation of a certificate shall be effected by delivering to the applicant or certificate holder by restricted certified mail or by personal service a notice setting forth the particular reasons for such actions. A denial, suspension or revocation shall be effective 30 days after certified mailing or personal service of the notice, unless the applicant or certificate holder gives the department written notice requesting a hearing within the 30-day period. If a timely request for hearing is made, the notice shall be deemed suspended pending the outcome of the hearing unless subrule </w:t>
      </w:r>
      <w:hyperlink r:id="rId63">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xml:space="preserve"> applies. If an enforcement action has been implemented immediately in accordance with subrule </w:t>
      </w:r>
      <w:hyperlink r:id="rId65">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the enforcement action remains in effect regardless of a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conducted by the administrative hearings division of the department pursuant to Iowa Code chapter </w:t>
      </w:r>
      <w:hyperlink r:id="rId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67.14(3)</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a certificate. </w:t>
      </w:r>
      <w:r>
        <w:rPr>
          <w:rFonts w:ascii="Times New Roman" w:hAnsi="Times New Roman"/>
          <w:b w:val="false"/>
          <w:i w:val="false"/>
          <w:color w:val="000000"/>
          <w:sz w:val="22"/>
        </w:rPr>
        <w:t>When the department finds that an imminent danger to the health or safety of tenants of a program exists that requires action on an emergency basis, the department may direct removal of all tenants from the program and suspend the certificate or require additional remedies to ensure the ongoing safety of the program’s tenants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67.14(4)</w:t>
      </w:r>
      <w:r>
        <w:rPr>
          <w:rFonts w:ascii="Times New Roman" w:hAnsi="Times New Roman"/>
          <w:b w:val="false"/>
          <w:i w:val="false"/>
          <w:color w:val="000000"/>
          <w:sz w:val="22"/>
        </w:rPr>
        <w:t> </w:t>
      </w:r>
      <w:r>
        <w:rPr>
          <w:rFonts w:ascii="Times New Roman" w:hAnsi="Times New Roman"/>
          <w:b w:val="false"/>
          <w:i/>
          <w:color w:val="000000"/>
          <w:sz w:val="22"/>
        </w:rPr>
        <w:t xml:space="preserve">Immediate imposition of enforcement action. </w:t>
      </w:r>
      <w:r>
        <w:rPr>
          <w:rFonts w:ascii="Times New Roman" w:hAnsi="Times New Roman"/>
          <w:b w:val="false"/>
          <w:i w:val="false"/>
          <w:color w:val="000000"/>
          <w:sz w:val="22"/>
        </w:rPr>
        <w:t>When the department finds that an imminent danger to the health or safety of tenants exists that requires action on an emergency basis, the department may immediately impose a conditional certificate and accompanying conditions upon the program in lieu of immediate suspension of the certificate and removal of the tenants from the program if the department finds that tenants’ health and safety would still be protected. The program may request a hearing, but the immediate enforcement action remains in effect regardless of the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481—67.15</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Conditional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67.15(1)</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 xml:space="preserve">In lieu of denial, suspension or revocation of a certificate, the department may issue a conditional certificate for a period of up to one year. Notwithstanding subrule </w:t>
      </w:r>
      <w:hyperlink r:id="rId69">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a conditional certificate shall be issued only when regulatory insufficiencies pose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specify the reasons for the conditional certificate in the notice issuing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conditions upon a certificate, such as requiring additional training; restriction of the program from accepting additional tenants for a period of time; or any other action or combination of actions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the program to adhere to the plan of correction or conditions placed on the certificate may result in suspension or revocation of the conditional certification and further enforcement action as available under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must be in substantial compliance with applicable requirements before the removal of a conditional certificate by the department. Prior to lifting a conditional certificate, the department may conduct a monitoring to verify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67.15(2)</w:t>
      </w:r>
      <w:r>
        <w:rPr>
          <w:rFonts w:ascii="Times New Roman" w:hAnsi="Times New Roman"/>
          <w:b w:val="false"/>
          <w:i w:val="false"/>
          <w:color w:val="000000"/>
          <w:sz w:val="22"/>
        </w:rPr>
        <w:t> </w:t>
      </w:r>
      <w:r>
        <w:rPr>
          <w:rFonts w:ascii="Times New Roman" w:hAnsi="Times New Roman"/>
          <w:b w:val="false"/>
          <w:i/>
          <w:color w:val="000000"/>
          <w:sz w:val="22"/>
        </w:rPr>
        <w:t xml:space="preserve">Appeal of conditional certificate. </w:t>
      </w:r>
      <w:r>
        <w:rPr>
          <w:rFonts w:ascii="Times New Roman" w:hAnsi="Times New Roman"/>
          <w:b w:val="false"/>
          <w:i w:val="false"/>
          <w:color w:val="000000"/>
          <w:sz w:val="22"/>
        </w:rPr>
        <w:t xml:space="preserve">A written request for hearing must be received by the department within 30 days after the mailing or service of notice. The conditional certificate will not be suspended pending the hearing. Hearings will be conducted by the administrative hearings division of the department pursuant to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481—67.16</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67.16(1)</w:t>
      </w:r>
      <w:r>
        <w:rPr>
          <w:rFonts w:ascii="Times New Roman" w:hAnsi="Times New Roman"/>
          <w:b w:val="false"/>
          <w:i w:val="false"/>
          <w:color w:val="000000"/>
          <w:sz w:val="22"/>
        </w:rPr>
        <w:t> </w:t>
      </w:r>
      <w:r>
        <w:rPr>
          <w:rFonts w:ascii="Times New Roman" w:hAnsi="Times New Roman"/>
          <w:b w:val="false"/>
          <w:i/>
          <w:color w:val="000000"/>
          <w:sz w:val="22"/>
        </w:rPr>
        <w:t xml:space="preserve">When civil penalties may be issued. </w:t>
      </w:r>
      <w:r>
        <w:rPr>
          <w:rFonts w:ascii="Times New Roman" w:hAnsi="Times New Roman"/>
          <w:b w:val="false"/>
          <w:i w:val="false"/>
          <w:color w:val="000000"/>
          <w:sz w:val="22"/>
        </w:rPr>
        <w:t>Civil penalties may be issued when the director finds that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comply with applicable requirements and the noncompliance results in imminent danger or a substantial probability of resultant death or physical harm to a tenant may be assessed a civil penalty of not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that continues to fail or refuses to comply with applicable requirements within prescribed time frames established by the department or approved by the department in the program’s plan of correction and the noncompliance has a direct relationship to the health, safety, or security of tenants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that prevents, interferes with or attempts to impede in any way any duly authorized representative of the department in the lawful enforcement of applicable requirements may be assessed a civil penalty of not more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that discriminates or retaliates in any way against a tenant, tenant’s family, or an employee of the program who has initiated or participated in any proceeding authorized by Iowa Code chapter </w:t>
      </w:r>
      <w:hyperlink r:id="rId72">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231C or 231D and the corresponding administrative rules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67.16(2)</w:t>
      </w:r>
      <w:r>
        <w:rPr>
          <w:rFonts w:ascii="Times New Roman" w:hAnsi="Times New Roman"/>
          <w:b w:val="false"/>
          <w:i w:val="false"/>
          <w:color w:val="000000"/>
          <w:sz w:val="22"/>
        </w:rPr>
        <w:t> </w:t>
      </w:r>
      <w:r>
        <w:rPr>
          <w:rFonts w:ascii="Times New Roman" w:hAnsi="Times New Roman"/>
          <w:b w:val="false"/>
          <w:i/>
          <w:color w:val="000000"/>
          <w:sz w:val="22"/>
        </w:rPr>
        <w:t xml:space="preserve">Duplicate civil penalties prohibited. </w:t>
      </w:r>
      <w:r>
        <w:rPr>
          <w:rFonts w:ascii="Times New Roman" w:hAnsi="Times New Roman"/>
          <w:b w:val="false"/>
          <w:i w:val="false"/>
          <w:color w:val="000000"/>
          <w:sz w:val="22"/>
        </w:rPr>
        <w:t>The department shall not impose duplicate civil penalties on a program for the same set of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67.16(3)</w:t>
      </w:r>
      <w:r>
        <w:rPr>
          <w:rFonts w:ascii="Times New Roman" w:hAnsi="Times New Roman"/>
          <w:b w:val="false"/>
          <w:i w:val="false"/>
          <w:color w:val="000000"/>
          <w:sz w:val="22"/>
        </w:rPr>
        <w:t> </w:t>
      </w:r>
      <w:r>
        <w:rPr>
          <w:rFonts w:ascii="Times New Roman" w:hAnsi="Times New Roman"/>
          <w:b w:val="false"/>
          <w:i/>
          <w:color w:val="000000"/>
          <w:sz w:val="22"/>
        </w:rPr>
        <w:t xml:space="preserve">Factors in determining the amount of a civil penalty. </w:t>
      </w:r>
      <w:r>
        <w:rPr>
          <w:rFonts w:ascii="Times New Roman" w:hAnsi="Times New Roman"/>
          <w:b w:val="false"/>
          <w:i w:val="false"/>
          <w:color w:val="000000"/>
          <w:sz w:val="22"/>
        </w:rPr>
        <w:t>The department will consider the following factors when determining the amount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regulatory insufficiency occurred (i.e., whether the regulatory insufficiency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program as it relates to the nature of the regulatory insufficiency (the department will not consider more than the current certification period and the immediately previous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program as it relates to the reasons the regulatory insufficiency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tenants or the effect on the health, safety, or security of the tenants that resulted from the regulatory insufficiency;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regulatory insufficiency to any other types of regulatory insufficiencies that have occurred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actions of the program after the occurrence of the regulatory insufficiency, including when corrective measures, if any, were implemented and whether the program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program that relate to the regulatory insufficiency,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rights of tenants to make informed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program made a good-faith effort to address a high-risk tenant’s specific needs and whether the evidence substantiates this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67.16(4)</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due. </w:t>
      </w:r>
      <w:r>
        <w:rPr>
          <w:rFonts w:ascii="Times New Roman" w:hAnsi="Times New Roman"/>
          <w:b w:val="false"/>
          <w:i w:val="false"/>
          <w:color w:val="000000"/>
          <w:sz w:val="22"/>
        </w:rPr>
        <w:t xml:space="preserve">The civil penalty shall be paid to the department within 30 days following the program’s receipt of the final report and demand letter. The program may appeal in accordance with rule </w:t>
      </w:r>
      <w:hyperlink r:id="rId73">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(17A,231B,231C,231D,85GA,HF2365). If the program appeals, the civil penalty will be deemed suspended until the appeal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67.16(5)</w:t>
      </w:r>
      <w:r>
        <w:rPr>
          <w:rFonts w:ascii="Times New Roman" w:hAnsi="Times New Roman"/>
          <w:b w:val="false"/>
          <w:i w:val="false"/>
          <w:color w:val="000000"/>
          <w:sz w:val="22"/>
        </w:rPr>
        <w:t> </w:t>
      </w:r>
      <w:r>
        <w:rPr>
          <w:rFonts w:ascii="Times New Roman" w:hAnsi="Times New Roman"/>
          <w:b w:val="false"/>
          <w:i/>
          <w:color w:val="000000"/>
          <w:sz w:val="22"/>
        </w:rPr>
        <w:t xml:space="preserve">Reduction of civil penalty. </w:t>
      </w:r>
      <w:r>
        <w:rPr>
          <w:rFonts w:ascii="Times New Roman" w:hAnsi="Times New Roman"/>
          <w:b w:val="false"/>
          <w:i w:val="false"/>
          <w:color w:val="000000"/>
          <w:sz w:val="22"/>
        </w:rPr>
        <w:t>If a program has been assessed a civil penalty, the civil penalty will be reduced by 35 percent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does not request a formal hearing pursuant to rule </w:t>
      </w:r>
      <w:hyperlink r:id="rId74">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 xml:space="preserve">(17A,231B,231C,231D,85GA,HF2365) or withdraws its request for formal hearing within 30 calendar days of the date that the civil penalty was assessed;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civil penalty is paid and payment is received by the department within 30 calendar days of receipt of the final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481—67.17</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shall be conducted pursuant to Iowa Code chapter </w:t>
      </w:r>
      <w:hyperlink r:id="rId7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481—67.18</w:t>
      </w:r>
      <w:r>
        <w:rPr>
          <w:rFonts w:ascii="Times New Roman" w:hAnsi="Times New Roman"/>
          <w:b/>
          <w:i w:val="false"/>
          <w:color w:val="000000"/>
          <w:sz w:val="22"/>
        </w:rPr>
        <w:t xml:space="preserve">(135C,231B,231C,231D)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check”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 check”</w:t>
      </w:r>
      <w:r>
        <w:rPr>
          <w:rFonts w:ascii="Times New Roman" w:hAnsi="Times New Roman"/>
          <w:b w:val="false"/>
          <w:i w:val="false"/>
          <w:color w:val="000000"/>
          <w:sz w:val="22"/>
        </w:rPr>
        <w:t>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preliminary background check”</w:t>
      </w:r>
      <w:r>
        <w:rPr>
          <w:rFonts w:ascii="Times New Roman" w:hAnsi="Times New Roman"/>
          <w:b w:val="false"/>
          <w:i w:val="false"/>
          <w:color w:val="000000"/>
          <w:sz w:val="22"/>
        </w:rPr>
        <w:t> </w:t>
      </w:r>
      <w:r>
        <w:rPr>
          <w:rFonts w:ascii="Times New Roman" w:hAnsi="Times New Roman"/>
          <w:b w:val="false"/>
          <w:i w:val="false"/>
          <w:color w:val="000000"/>
          <w:sz w:val="22"/>
        </w:rPr>
        <w:t>means a criminal history check of all states in which the applicant has worked or resided over the seven-year period immediately prior to applying for employment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program for a very limited purpose, who are not in the program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“Employed in a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“employment within a program”</w:t>
      </w:r>
      <w:r>
        <w:rPr>
          <w:rFonts w:ascii="Times New Roman" w:hAnsi="Times New Roman"/>
          <w:b w:val="false"/>
          <w:i w:val="false"/>
          <w:color w:val="000000"/>
          <w:sz w:val="22"/>
        </w:rPr>
        <w:t> </w:t>
      </w:r>
      <w:r>
        <w:rPr>
          <w:rFonts w:ascii="Times New Roman" w:hAnsi="Times New Roman"/>
          <w:b w:val="false"/>
          <w:i w:val="false"/>
          <w:color w:val="000000"/>
          <w:sz w:val="22"/>
        </w:rPr>
        <w:t>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an assisted living program certified under Iowa Code chapter </w:t>
      </w:r>
      <w:hyperlink r:id="rId7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an elder group home certified under Iowa Code chapter </w:t>
      </w:r>
      <w:hyperlink r:id="rId78">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employee of an adult day services program certified under Iowa Code chapter </w:t>
      </w:r>
      <w:hyperlink r:id="rId79">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paid, either by the program or any other entity (i.e., temporary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w:t>
      </w:r>
      <w:r>
        <w:rPr>
          <w:rFonts w:ascii="Times New Roman" w:hAnsi="Times New Roman"/>
          <w:b w:val="false"/>
          <w:i w:val="false"/>
          <w:color w:val="000000"/>
          <w:sz w:val="22"/>
        </w:rPr>
        <w:t> </w:t>
      </w:r>
      <w:r>
        <w:rPr>
          <w:rFonts w:ascii="Times New Roman" w:hAnsi="Times New Roman"/>
          <w:b w:val="false"/>
          <w:i w:val="false"/>
          <w:color w:val="000000"/>
          <w:sz w:val="22"/>
        </w:rPr>
        <w:t>means review by the department of health and human services (HHS) to determine whether a founded child abuse, dependent adult abuse or criminal conviction warrants the person’s being prohibited from employment in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assisted living program certified under Iowa Code chapter </w:t>
      </w:r>
      <w:hyperlink r:id="rId8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elder group home certified under Iowa Code chapter </w:t>
      </w:r>
      <w:hyperlink r:id="rId8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adult day services program certified under Iowa Code chapter </w:t>
      </w:r>
      <w:hyperlink r:id="rId82">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8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program, the program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program will ask each person seeking employment by the program, “Do you have a record of founded child or dependent adult abuse or have you ever been convicted of a crime other than a simple misdemeanor offense relating to motor vehicles and laws of the road under Iowa Code chapter </w:t>
      </w:r>
      <w:hyperlink r:id="rId8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The person will be informed that a background check will be conducted and sign an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The program will either request that the department of public safety perform a criminal history check and that HHS perform child and dependent adult abuse record checks of the person in this state or access the single contact repository (SING) to perform the required background check. If SING is used, the program will submit the person’s maiden name, if applicable, with the background check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been convicted of a crime under the law of any state. </w:t>
      </w:r>
      <w:r>
        <w:rPr>
          <w:rFonts w:ascii="Times New Roman" w:hAnsi="Times New Roman"/>
          <w:b w:val="false"/>
          <w:i w:val="false"/>
          <w:color w:val="000000"/>
          <w:sz w:val="22"/>
        </w:rPr>
        <w:t>The program will request that HHS perform an evaluation to determine whether the crime warrants prohibition of the person’s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a record of founded child abuse or dependent adult abuse under the laws of any state. </w:t>
      </w:r>
      <w:r>
        <w:rPr>
          <w:rFonts w:ascii="Times New Roman" w:hAnsi="Times New Roman"/>
          <w:b w:val="false"/>
          <w:i w:val="false"/>
          <w:color w:val="000000"/>
          <w:sz w:val="22"/>
        </w:rPr>
        <w:t>The program will request that HHS perform an evaluation to determine whether the founded child or dependent adult abuse warrants prohibition of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program may provisionally employ a person prior to completion of the required record check and evaluation by HHS,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accessed SING to perform the required record check and be awaiting results from SING or awaiting evaluation by HHS,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program shall request an evaluation by HHS in accordance with paragraph </w:t>
      </w:r>
      <w:hyperlink r:id="rId85">
        <w:r>
          <w:rPr>
            <w:rStyle w:val="Hyperlink"/>
            <w:rFonts w:ascii="Times New Roman" w:hAnsi="Times New Roman"/>
            <w:b w:val="false"/>
            <w:i w:val="false"/>
            <w:color w:val="000000"/>
            <w:sz w:val="22"/>
          </w:rPr>
          <w:t>67.18(3)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86">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87">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708A, 709, 709A, 710, 710A, 711, or 712 or pursuant to Iowa Code section </w:t>
      </w:r>
      <w:hyperlink r:id="rId88">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726.7, or 726.8;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comprehensive preliminary background check determines the person being considered for employment does have a record of founded child abuse or dependent adult abuse, subrule </w:t>
      </w:r>
      <w:hyperlink r:id="rId89">
        <w:r>
          <w:rPr>
            <w:rStyle w:val="Hyperlink"/>
            <w:rFonts w:ascii="Times New Roman" w:hAnsi="Times New Roman"/>
            <w:b w:val="false"/>
            <w:i w:val="false"/>
            <w:color w:val="000000"/>
            <w:sz w:val="22"/>
          </w:rPr>
          <w:t>67.18(8)</w:t>
        </w:r>
      </w:hyperlink>
      <w:r>
        <w:rPr>
          <w:rFonts w:ascii="Times New Roman" w:hAnsi="Times New Roman"/>
          <w:b w:val="false"/>
          <w:i w:val="false"/>
          <w:color w:val="000000"/>
          <w:sz w:val="22"/>
        </w:rPr>
        <w:t xml:space="preserv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HHS,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paragraph </w:t>
      </w:r>
      <w:hyperlink r:id="rId90">
        <w:r>
          <w:rPr>
            <w:rStyle w:val="Hyperlink"/>
            <w:rFonts w:ascii="Times New Roman" w:hAnsi="Times New Roman"/>
            <w:b w:val="false"/>
            <w:i w:val="false"/>
            <w:color w:val="000000"/>
            <w:sz w:val="22"/>
          </w:rPr>
          <w:t>67.18(3)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program unless an evaluation has been performed by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program owned or operated by the same person without a lapse in employment. </w:t>
      </w:r>
      <w:r>
        <w:rPr>
          <w:rFonts w:ascii="Times New Roman" w:hAnsi="Times New Roman"/>
          <w:b w:val="false"/>
          <w:i w:val="false"/>
          <w:color w:val="000000"/>
          <w:sz w:val="22"/>
        </w:rPr>
        <w:t>The program is not required to request additional criminal and child and dependent adult abuse record checks of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program. </w:t>
      </w:r>
      <w:r>
        <w:rPr>
          <w:rFonts w:ascii="Times New Roman" w:hAnsi="Times New Roman"/>
          <w:b w:val="false"/>
          <w:i w:val="false"/>
          <w:color w:val="000000"/>
          <w:sz w:val="22"/>
        </w:rPr>
        <w:t>At the time of transfer of ownership of a program,  the background check required by this rule will be performed for each employee for whom there is no documentation that such background check has been performed. The program may continue to employ such employee pending the performance of the background check and any related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certified program and is hired by another certified program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certified program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HHS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prior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HHS and still applicable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91">
        <w:r>
          <w:rPr>
            <w:rStyle w:val="Hyperlink"/>
            <w:rFonts w:ascii="Times New Roman" w:hAnsi="Times New Roman"/>
            <w:b w:val="false"/>
            <w:i w:val="false"/>
            <w:color w:val="000000"/>
            <w:sz w:val="22"/>
          </w:rPr>
          <w:t>67.18(8)</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convictions or founded abuse after employment. </w:t>
      </w:r>
      <w:r>
        <w:rPr>
          <w:rFonts w:ascii="Times New Roman" w:hAnsi="Times New Roman"/>
          <w:b w:val="false"/>
          <w:i w:val="false"/>
          <w:color w:val="000000"/>
          <w:sz w:val="22"/>
        </w:rPr>
        <w:t>If a person employed by an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2">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9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67.18(10)</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an employee has been convicted of a crime or founded for abuse. </w:t>
      </w:r>
      <w:r>
        <w:rPr>
          <w:rFonts w:ascii="Times New Roman" w:hAnsi="Times New Roman"/>
          <w:b w:val="false"/>
          <w:i w:val="false"/>
          <w:color w:val="000000"/>
          <w:sz w:val="22"/>
        </w:rPr>
        <w:t xml:space="preserve">If the program receives credible information, as determined by the program,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94">
        <w:r>
          <w:rPr>
            <w:rStyle w:val="Hyperlink"/>
            <w:rFonts w:ascii="Times New Roman" w:hAnsi="Times New Roman"/>
            <w:b w:val="false"/>
            <w:i w:val="false"/>
            <w:color w:val="000000"/>
            <w:sz w:val="22"/>
          </w:rPr>
          <w:t>67.18(9)</w:t>
        </w:r>
      </w:hyperlink>
      <w:r>
        <w:rPr>
          <w:rFonts w:ascii="Times New Roman" w:hAnsi="Times New Roman"/>
          <w:b w:val="false"/>
          <w:i w:val="false"/>
          <w:color w:val="000000"/>
          <w:sz w:val="22"/>
        </w:rPr>
        <w:t>, the program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act to verify credible information within seven calendar days of receipt.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5">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temporary employment agencies and contractors. </w:t>
      </w:r>
      <w:r>
        <w:rPr>
          <w:rFonts w:ascii="Times New Roman" w:hAnsi="Times New Roman"/>
          <w:b w:val="false"/>
          <w:i w:val="false"/>
          <w:color w:val="000000"/>
          <w:sz w:val="22"/>
        </w:rPr>
        <w:t>Proof of background checks may be kept in the files maintained by temporary employment agencies and contractors. Facilities may require temporary employment agencies and contractors to provide a copy of the result of the background checks. Copies of such results shall be made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481—67.19</w:t>
      </w:r>
      <w:r>
        <w:rPr>
          <w:rFonts w:ascii="Times New Roman" w:hAnsi="Times New Roman"/>
          <w:b/>
          <w:i w:val="false"/>
          <w:color w:val="000000"/>
          <w:sz w:val="22"/>
        </w:rPr>
        <w:t xml:space="preserve">(17A,231C,231D) </w:t>
      </w:r>
      <w:r>
        <w:rPr>
          <w:rFonts w:ascii="Times New Roman" w:hAnsi="Times New Roman"/>
          <w:b/>
          <w:i w:val="false"/>
          <w:color w:val="000000"/>
          <w:sz w:val="22"/>
        </w:rPr>
        <w:t xml:space="preserve">Emergency removal of tenants. </w:t>
      </w:r>
      <w:r>
        <w:rPr>
          <w:rFonts w:ascii="Times New Roman" w:hAnsi="Times New Roman"/>
          <w:b w:val="false"/>
          <w:i w:val="false"/>
          <w:color w:val="000000"/>
          <w:sz w:val="22"/>
        </w:rPr>
        <w:t>If the department determines that the health or safety of tenants is in jeopardy and the tenants need to be removed from the program, the department will use the following procedures to ensure a safe and orderly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HHS, the tenant advocate, the appropriate area agency on aging, and other agencies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alert them to the need to transfer tenants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assistance in identifying alternative programs or other appropriate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contact the tenants and their legal representatives or family members, if applicable, and others as appropriate, including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program of the immediate need to transfer tenants and of any assistance available, in coordination with the appropriate parties under subrule </w:t>
      </w:r>
      <w:hyperlink r:id="rId96">
        <w:r>
          <w:rPr>
            <w:rStyle w:val="Hyperlink"/>
            <w:rFonts w:ascii="Times New Roman" w:hAnsi="Times New Roman"/>
            <w:b w:val="false"/>
            <w:i w:val="false"/>
            <w:color w:val="000000"/>
            <w:sz w:val="22"/>
          </w:rPr>
          <w:t>67.19(1)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481—67.20</w:t>
      </w:r>
      <w:r>
        <w:rPr>
          <w:rFonts w:ascii="Times New Roman" w:hAnsi="Times New Roman"/>
          <w:b/>
          <w:i w:val="false"/>
          <w:color w:val="000000"/>
          <w:sz w:val="22"/>
        </w:rPr>
        <w:t xml:space="preserve">(231C) </w:t>
      </w:r>
      <w:r>
        <w:rPr>
          <w:rFonts w:ascii="Times New Roman" w:hAnsi="Times New Roman"/>
          <w:b/>
          <w:i w:val="false"/>
          <w:color w:val="000000"/>
          <w:sz w:val="22"/>
        </w:rPr>
        <w:t xml:space="preserve">Nursing assistant work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may add an employee to the direct care worker registry by calling 515.281.4077 or by registering through the website at </w:t>
      </w:r>
      <w:hyperlink r:id="rId97">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application for each certified nursing assistant who works in the program. A registered nurse employed by the program shall supervise the nursing assistant. The application may be obtained by telephone at 515.281.4077 or via the website at </w:t>
      </w:r>
      <w:hyperlink r:id="rId98">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quarterly employment report whenever a change in the employment of a certified nursing assistant occurs. The report form may be obtained by telephone at 515.281.4077 or via the website at </w:t>
      </w:r>
      <w:hyperlink r:id="rId99">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Public or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of findings. </w:t>
      </w:r>
      <w:r>
        <w:rPr>
          <w:rFonts w:ascii="Times New Roman" w:hAnsi="Times New Roman"/>
          <w:b w:val="false"/>
          <w:i w:val="false"/>
          <w:color w:val="000000"/>
          <w:sz w:val="22"/>
        </w:rPr>
        <w:t xml:space="preserve">The program shall provide copies of the final report resulting from a monitoring in a prominent public place. Copies are available upon request from the Department of Inspections, Appeals, and Licensing, Adult Services Bureau, 6200 Park Avenue, Des Moines, Iowa 50323; by telephone at 515.281.6325; or via the website at </w:t>
      </w:r>
      <w:hyperlink r:id="rId10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The following records are open records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applications, certification status,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monitorings, including a monitoring that results from a complaint or program-reported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from the fire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notices of certification sanctions, including enforcement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fact, conclusions of law, decisions and orders issued pursuant to rules </w:t>
      </w:r>
      <w:hyperlink r:id="rId101">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 xml:space="preserve">(17A,231B,231C,231D) and </w:t>
      </w:r>
      <w:hyperlink r:id="rId102">
        <w:r>
          <w:rPr>
            <w:rStyle w:val="Hyperlink"/>
            <w:rFonts w:ascii="Times New Roman" w:hAnsi="Times New Roman"/>
            <w:b w:val="false"/>
            <w:i w:val="false"/>
            <w:color w:val="000000"/>
            <w:sz w:val="22"/>
          </w:rPr>
          <w:t>481—67.12</w:t>
        </w:r>
      </w:hyperlink>
      <w:r>
        <w:rPr>
          <w:rFonts w:ascii="Times New Roman" w:hAnsi="Times New Roman"/>
          <w:b w:val="false"/>
          <w:i w:val="false"/>
          <w:color w:val="000000"/>
          <w:sz w:val="22"/>
        </w:rPr>
        <w:t>(17A,231B,231C,231D,85GA,HF2365);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Waivers, including the department’s approval and denial letter and any letter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report resulting from a monitoring, complaint investigation, or program-reported incident investigation. Information that does not comprise a final report may be made public in a legal proceeding concerning a denial, suspension or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program, identifying medical information, copies of documentation appointing a legal representative, and the address of anyone other than an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8174B</w:t>
      </w:r>
      <w:r>
        <w:rPr>
          <w:rFonts w:ascii="Times New Roman" w:hAnsi="Times New Roman"/>
          <w:b w:val="false"/>
          <w:i w:val="false"/>
          <w:color w:val="000000"/>
          <w:sz w:val="21"/>
        </w:rPr>
        <w:t xml:space="preserve"> (Notice ARC 7877B,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0961C</w:t>
      </w:r>
      <w:r>
        <w:rPr>
          <w:rFonts w:ascii="Times New Roman" w:hAnsi="Times New Roman"/>
          <w:b w:val="false"/>
          <w:i w:val="false"/>
          <w:color w:val="000000"/>
          <w:sz w:val="21"/>
        </w:rPr>
        <w:t xml:space="preserve"> (Notice ARC 0809C, IAB 6/26/13)</w:t>
      </w:r>
      <w:r>
        <w:rPr>
          <w:rFonts w:ascii="Times New Roman" w:hAnsi="Times New Roman"/>
          <w:b w:val="false"/>
          <w:i w:val="false"/>
          <w:color w:val="000000"/>
          <w:sz w:val="21"/>
        </w:rPr>
        <w:t>, IAB 8/21/13, effective 9/25/13]</w:t>
      </w:r>
      <w:r>
        <w:br/>
      </w:r>
      <w:r>
        <w:rPr>
          <w:rFonts w:ascii="Times New Roman" w:hAnsi="Times New Roman"/>
          <w:b w:val="false"/>
          <w:i w:val="false"/>
          <w:color w:val="000000"/>
          <w:sz w:val="21"/>
        </w:rPr>
        <w:t>[Filed ARC 0963C</w:t>
      </w:r>
      <w:r>
        <w:rPr>
          <w:rFonts w:ascii="Times New Roman" w:hAnsi="Times New Roman"/>
          <w:b w:val="false"/>
          <w:i w:val="false"/>
          <w:color w:val="000000"/>
          <w:sz w:val="21"/>
        </w:rPr>
        <w:t xml:space="preserve"> (Notice ARC 0808C,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1055C</w:t>
      </w:r>
      <w:r>
        <w:rPr>
          <w:rFonts w:ascii="Times New Roman" w:hAnsi="Times New Roman"/>
          <w:b w:val="false"/>
          <w:i w:val="false"/>
          <w:color w:val="000000"/>
          <w:sz w:val="21"/>
        </w:rPr>
        <w:t xml:space="preserve"> (Notice ARC 0941C,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1701C</w:t>
      </w:r>
      <w:r>
        <w:rPr>
          <w:rFonts w:ascii="Times New Roman" w:hAnsi="Times New Roman"/>
          <w:b w:val="false"/>
          <w:i w:val="false"/>
          <w:color w:val="000000"/>
          <w:sz w:val="21"/>
        </w:rPr>
        <w:t xml:space="preserve"> (Notice ARC 1616C,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1994C</w:t>
      </w:r>
      <w:r>
        <w:rPr>
          <w:rFonts w:ascii="Times New Roman" w:hAnsi="Times New Roman"/>
          <w:b w:val="false"/>
          <w:i w:val="false"/>
          <w:color w:val="000000"/>
          <w:sz w:val="21"/>
        </w:rPr>
        <w:t xml:space="preserve"> (Notice ARC 1942C,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2142C</w:t>
      </w:r>
      <w:r>
        <w:rPr>
          <w:rFonts w:ascii="Times New Roman" w:hAnsi="Times New Roman"/>
          <w:b w:val="false"/>
          <w:i w:val="false"/>
          <w:color w:val="000000"/>
          <w:sz w:val="21"/>
        </w:rPr>
        <w:t xml:space="preserve"> (Notice ARC 2067C,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0063D</w:t>
      </w:r>
      <w:r>
        <w:rPr>
          <w:rFonts w:ascii="Times New Roman" w:hAnsi="Times New Roman"/>
          <w:b w:val="false"/>
          <w:i w:val="false"/>
          <w:color w:val="000000"/>
          <w:sz w:val="21"/>
        </w:rPr>
        <w:t xml:space="preserve"> (Notice ARC 9781C,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10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8.pdf" Type="http://schemas.openxmlformats.org/officeDocument/2006/relationships/hyperlink" Id="rId5"/>
    <Relationship TargetMode="External" Target="https://www.legis.iowa.gov/docs/iac/chapter/481.69.pdf" Type="http://schemas.openxmlformats.org/officeDocument/2006/relationships/hyperlink" Id="rId6"/>
    <Relationship TargetMode="External" Target="https://www.legis.iowa.gov/docs/iac/chapter/481.70.pdf" Type="http://schemas.openxmlformats.org/officeDocument/2006/relationships/hyperlink" Id="rId7"/>
    <Relationship TargetMode="External" Target="https://www.legis.iowa.gov/docs/ico/chapter/135C.pdf" Type="http://schemas.openxmlformats.org/officeDocument/2006/relationships/hyperlink" Id="rId8"/>
    <Relationship TargetMode="External" Target="https://www.legis.iowa.gov/docs/ico/chapter/231B.pdf" Type="http://schemas.openxmlformats.org/officeDocument/2006/relationships/hyperlink" Id="rId9"/>
    <Relationship TargetMode="External" Target="https://www.legis.iowa.gov/docs/ico/chapter/231C.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235B.pdf" Type="http://schemas.openxmlformats.org/officeDocument/2006/relationships/hyperlink" Id="rId12"/>
    <Relationship TargetMode="External" Target="https://www.legis.iowa.gov/docs/ico/chapter/235E.pdf" Type="http://schemas.openxmlformats.org/officeDocument/2006/relationships/hyperlink" Id="rId13"/>
    <Relationship TargetMode="External" Target="https://www.legis.iowa.gov/docs/ico/chapter/562A.pdf" Type="http://schemas.openxmlformats.org/officeDocument/2006/relationships/hyperlink" Id="rId14"/>
    <Relationship TargetMode="External" Target="https://www.legis.iowa.gov/docs/iac/chapter/481.68.pdf" Type="http://schemas.openxmlformats.org/officeDocument/2006/relationships/hyperlink" Id="rId15"/>
    <Relationship TargetMode="External" Target="https://www.legis.iowa.gov/docs/iac/chapter/481.69.pdf" Type="http://schemas.openxmlformats.org/officeDocument/2006/relationships/hyperlink" Id="rId16"/>
    <Relationship TargetMode="External" Target="https://www.legis.iowa.gov/docs/iac/chapter/481.70.pdf" Type="http://schemas.openxmlformats.org/officeDocument/2006/relationships/hyperlink" Id="rId17"/>
    <Relationship TargetMode="External" Target="https://www.legis.iowa.gov/docs/ico/chapter/231B.1.pdf" Type="http://schemas.openxmlformats.org/officeDocument/2006/relationships/hyperlink" Id="rId18"/>
    <Relationship TargetMode="External" Target="https://www.legis.iowa.gov/docs/ico/chapter/231B.1.pdf" Type="http://schemas.openxmlformats.org/officeDocument/2006/relationships/hyperlink" Id="rId19"/>
    <Relationship TargetMode="External" Target="https://www.legis.iowa.gov/docs/ico/chapter/231B.1.pdf" Type="http://schemas.openxmlformats.org/officeDocument/2006/relationships/hyperlink" Id="rId20"/>
    <Relationship TargetMode="External" Target="https://www.legis.iowa.gov/docs/ico/chapter/231C.2.pdf" Type="http://schemas.openxmlformats.org/officeDocument/2006/relationships/hyperlink" Id="rId21"/>
    <Relationship TargetMode="External" Target="https://www.legis.iowa.gov/docs/ico/chapter/231B.1.pdf" Type="http://schemas.openxmlformats.org/officeDocument/2006/relationships/hyperlink" Id="rId22"/>
    <Relationship TargetMode="External" Target="https://www.legis.iowa.gov/docs/ico/chapter/231B.1.pdf" Type="http://schemas.openxmlformats.org/officeDocument/2006/relationships/hyperlink" Id="rId23"/>
    <Relationship TargetMode="External" Target="https://www.legis.iowa.gov/docs/iac/chapter/481.68.pdf" Type="http://schemas.openxmlformats.org/officeDocument/2006/relationships/hyperlink" Id="rId24"/>
    <Relationship TargetMode="External" Target="https://www.legis.iowa.gov/docs/ico/chapter/231C.1.pdf" Type="http://schemas.openxmlformats.org/officeDocument/2006/relationships/hyperlink" Id="rId25"/>
    <Relationship TargetMode="External" Target="https://www.legis.iowa.gov/docs/iac/chapter/481.69.pdf" Type="http://schemas.openxmlformats.org/officeDocument/2006/relationships/hyperlink" Id="rId26"/>
    <Relationship TargetMode="External" Target="https://www.legis.iowa.gov/docs/ico/chapter/231D.1.pdf" Type="http://schemas.openxmlformats.org/officeDocument/2006/relationships/hyperlink" Id="rId27"/>
    <Relationship TargetMode="External" Target="https://www.legis.iowa.gov/docs/iac/chapter/481.70.pdf" Type="http://schemas.openxmlformats.org/officeDocument/2006/relationships/hyperlink" Id="rId28"/>
    <Relationship TargetMode="External" Target="https://www.legis.iowa.gov/docs/ico/chapter/231C.2.pdf" Type="http://schemas.openxmlformats.org/officeDocument/2006/relationships/hyperlink" Id="rId29"/>
    <Relationship TargetMode="External" Target="https://www.legis.iowa.gov/docs/ico/chapter/231D.1.pdf" Type="http://schemas.openxmlformats.org/officeDocument/2006/relationships/hyperlink" Id="rId30"/>
    <Relationship TargetMode="External" Target="https://www.legis.iowa.gov/docs/ico/chapter/231C.2.pdf" Type="http://schemas.openxmlformats.org/officeDocument/2006/relationships/hyperlink" Id="rId31"/>
    <Relationship TargetMode="External" Target="https://www.legis.iowa.gov/docs/ico/chapter/231C.2.pdf" Type="http://schemas.openxmlformats.org/officeDocument/2006/relationships/hyperlink" Id="rId32"/>
    <Relationship TargetMode="External" Target="https://www.legis.iowa.gov/docs/ico/chapter/231B.1.pdf" Type="http://schemas.openxmlformats.org/officeDocument/2006/relationships/hyperlink" Id="rId33"/>
    <Relationship TargetMode="External" Target="https://www.legis.iowa.gov/docs/ico/chapter/231C.2.pdf" Type="http://schemas.openxmlformats.org/officeDocument/2006/relationships/hyperlink" Id="rId34"/>
    <Relationship TargetMode="External" Target="https://www.legis.iowa.gov/docs/iac/chapter/481.70.pdf" Type="http://schemas.openxmlformats.org/officeDocument/2006/relationships/hyperlink" Id="rId35"/>
    <Relationship TargetMode="External" Target="https://www.legis.iowa.gov/docs/ico/chapter/231B.1.pdf" Type="http://schemas.openxmlformats.org/officeDocument/2006/relationships/hyperlink" Id="rId36"/>
    <Relationship TargetMode="External" Target="https://www.legis.iowa.gov/docs/ico/chapter/231B.1.pdf" Type="http://schemas.openxmlformats.org/officeDocument/2006/relationships/hyperlink" Id="rId37"/>
    <Relationship TargetMode="External" Target="https://www.legis.iowa.gov/docs/iac/chapter/481.70.pdf" Type="http://schemas.openxmlformats.org/officeDocument/2006/relationships/hyperlink" Id="rId38"/>
    <Relationship TargetMode="External" Target="https://www.legis.iowa.gov/docs/ico/chapter/235E.pdf" Type="http://schemas.openxmlformats.org/officeDocument/2006/relationships/hyperlink" Id="rId39"/>
    <Relationship TargetMode="External" Target="https://www.legis.iowa.gov/docs/ico/chapter/235B.pdf" Type="http://schemas.openxmlformats.org/officeDocument/2006/relationships/hyperlink" Id="rId40"/>
    <Relationship TargetMode="External" Target="https://www.legis.iowa.gov/docs/ico/chapter/235E.pdf" Type="http://schemas.openxmlformats.org/officeDocument/2006/relationships/hyperlink" Id="rId41"/>
    <Relationship TargetMode="External" Target="https://www.legis.iowa.gov/docs/iac/chapter/481.551.pdf" Type="http://schemas.openxmlformats.org/officeDocument/2006/relationships/hyperlink" Id="rId42"/>
    <Relationship TargetMode="External" Target="https://www.legis.iowa.gov/docs/ico/chapter/231C.16A.pdf" Type="http://schemas.openxmlformats.org/officeDocument/2006/relationships/hyperlink" Id="rId43"/>
    <Relationship TargetMode="External" Target="https://www.legis.iowa.gov/docs/iac/rule/481.67.9.pdf" Type="http://schemas.openxmlformats.org/officeDocument/2006/relationships/hyperlink" Id="rId44"/>
    <Relationship TargetMode="External" Target="https://www.legis.iowa.gov/docs/iac/chapter/481.781.pdf" Type="http://schemas.openxmlformats.org/officeDocument/2006/relationships/hyperlink" Id="rId45"/>
    <Relationship TargetMode="External" Target="https://www.legis.iowa.gov/docs/ico/chapter/17A.9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ac/chapter/481.6.pdf" Type="http://schemas.openxmlformats.org/officeDocument/2006/relationships/hyperlink" Id="rId48"/>
    <Relationship TargetMode="External" Target="https://www.legis.iowa.gov/docs/ico/chapter/235B.16.pdf" Type="http://schemas.openxmlformats.org/officeDocument/2006/relationships/hyperlink" Id="rId49"/>
    <Relationship TargetMode="External" Target="http://dial.iowa.gov" Type="http://schemas.openxmlformats.org/officeDocument/2006/relationships/hyperlink" Id="rId50"/>
    <Relationship TargetMode="External" Target="http://dia-hfd.iowa.gov" Type="http://schemas.openxmlformats.org/officeDocument/2006/relationships/hyperlink" Id="rId51"/>
    <Relationship TargetMode="External" Target="https://www.legis.iowa.gov/docs/ico/chapter/231B.8.pdf" Type="http://schemas.openxmlformats.org/officeDocument/2006/relationships/hyperlink" Id="rId52"/>
    <Relationship TargetMode="External" Target="https://www.legis.iowa.gov/docs/ico/chapter/231C.8.pdf" Type="http://schemas.openxmlformats.org/officeDocument/2006/relationships/hyperlink" Id="rId53"/>
    <Relationship TargetMode="External" Target="https://www.legis.iowa.gov/docs/ico/chapter/231B.8.pdf" Type="http://schemas.openxmlformats.org/officeDocument/2006/relationships/hyperlink" Id="rId54"/>
    <Relationship TargetMode="External" Target="https://www.legis.iowa.gov/docs/ico/chapter/231C.8.pdf" Type="http://schemas.openxmlformats.org/officeDocument/2006/relationships/hyperlink" Id="rId55"/>
    <Relationship TargetMode="External" Target="https://www.legis.iowa.gov/docs/ico/chapter/231B.9A.pdf" Type="http://schemas.openxmlformats.org/officeDocument/2006/relationships/hyperlink" Id="rId56"/>
    <Relationship TargetMode="External" Target="https://www.legis.iowa.gov/docs/ico/chapter/231C.9A.pdf" Type="http://schemas.openxmlformats.org/officeDocument/2006/relationships/hyperlink" Id="rId57"/>
    <Relationship TargetMode="External" Target="https://www.legis.iowa.gov/docs/ico/chapter/231D.9A.pdf" Type="http://schemas.openxmlformats.org/officeDocument/2006/relationships/hyperlink" Id="rId58"/>
    <Relationship TargetMode="External" Target="https://www.legis.iowa.gov/docs/iac/rule/481.67.16.pdf" Type="http://schemas.openxmlformats.org/officeDocument/2006/relationships/hyperlink" Id="rId59"/>
    <Relationship TargetMode="External" Target="https://www.legis.iowa.gov/docs/iac/rule/481.67.12.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ac/chapter/481.9.pdf" Type="http://schemas.openxmlformats.org/officeDocument/2006/relationships/hyperlink" Id="rId62"/>
    <Relationship TargetMode="External" Target="https://www.legis.iowa.gov/docs/iac/rule/481.67.14.pdf" Type="http://schemas.openxmlformats.org/officeDocument/2006/relationships/hyperlink" Id="rId63"/>
    <Relationship TargetMode="External" Target="https://www.legis.iowa.gov/docs/iac/rule/481.67.14.pdf" Type="http://schemas.openxmlformats.org/officeDocument/2006/relationships/hyperlink" Id="rId64"/>
    <Relationship TargetMode="External" Target="https://www.legis.iowa.gov/docs/iac/rule/481.67.14.pdf" Type="http://schemas.openxmlformats.org/officeDocument/2006/relationships/hyperlink" Id="rId65"/>
    <Relationship TargetMode="External" Target="https://www.legis.iowa.gov/docs/iac/rule/481.67.14.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ac/chapter/481.9.pdf" Type="http://schemas.openxmlformats.org/officeDocument/2006/relationships/hyperlink" Id="rId68"/>
    <Relationship TargetMode="External" Target="https://www.legis.iowa.gov/docs/iac/rule/481.67.14.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chapter/481.9.pdf" Type="http://schemas.openxmlformats.org/officeDocument/2006/relationships/hyperlink" Id="rId71"/>
    <Relationship TargetMode="External" Target="https://www.legis.iowa.gov/docs/ico/chapter/231B.pdf" Type="http://schemas.openxmlformats.org/officeDocument/2006/relationships/hyperlink" Id="rId72"/>
    <Relationship TargetMode="External" Target="https://www.legis.iowa.gov/docs/iac/rule/481.67.13.pdf" Type="http://schemas.openxmlformats.org/officeDocument/2006/relationships/hyperlink" Id="rId73"/>
    <Relationship TargetMode="External" Target="https://www.legis.iowa.gov/docs/iac/rule/481.67.13.pdf" Type="http://schemas.openxmlformats.org/officeDocument/2006/relationships/hyperlink" Id="rId74"/>
    <Relationship TargetMode="External" Target="https://www.legis.iowa.gov/docs/ico/chapter/17A.pdf" Type="http://schemas.openxmlformats.org/officeDocument/2006/relationships/hyperlink" Id="rId75"/>
    <Relationship TargetMode="External" Target="https://www.legis.iowa.gov/docs/iac/chapter/481.9.pdf" Type="http://schemas.openxmlformats.org/officeDocument/2006/relationships/hyperlink" Id="rId76"/>
    <Relationship TargetMode="External" Target="https://www.legis.iowa.gov/docs/ico/chapter/231C.pdf" Type="http://schemas.openxmlformats.org/officeDocument/2006/relationships/hyperlink" Id="rId77"/>
    <Relationship TargetMode="External" Target="https://www.legis.iowa.gov/docs/ico/chapter/231B.pdf" Type="http://schemas.openxmlformats.org/officeDocument/2006/relationships/hyperlink" Id="rId78"/>
    <Relationship TargetMode="External" Target="https://www.legis.iowa.gov/docs/ico/chapter/231D.pdf" Type="http://schemas.openxmlformats.org/officeDocument/2006/relationships/hyperlink" Id="rId79"/>
    <Relationship TargetMode="External" Target="https://www.legis.iowa.gov/docs/ico/chapter/231C.pdf" Type="http://schemas.openxmlformats.org/officeDocument/2006/relationships/hyperlink" Id="rId80"/>
    <Relationship TargetMode="External" Target="https://www.legis.iowa.gov/docs/ico/chapter/231B.pdf" Type="http://schemas.openxmlformats.org/officeDocument/2006/relationships/hyperlink" Id="rId81"/>
    <Relationship TargetMode="External" Target="https://www.legis.iowa.gov/docs/ico/chapter/231D.pdf" Type="http://schemas.openxmlformats.org/officeDocument/2006/relationships/hyperlink" Id="rId82"/>
    <Relationship TargetMode="External" Target="https://www.legis.iowa.gov/docs/ico/chapter/321.pdf" Type="http://schemas.openxmlformats.org/officeDocument/2006/relationships/hyperlink" Id="rId83"/>
    <Relationship TargetMode="External" Target="https://www.legis.iowa.gov/docs/ico/chapter/321.pdf" Type="http://schemas.openxmlformats.org/officeDocument/2006/relationships/hyperlink" Id="rId84"/>
    <Relationship TargetMode="External" Target="https://www.legis.iowa.gov/docs/iac/rule/481.67.18.pdf" Type="http://schemas.openxmlformats.org/officeDocument/2006/relationships/hyperlink" Id="rId85"/>
    <Relationship TargetMode="External" Target="https://www.legis.iowa.gov/docs/ico/chapter/701.7.pdf" Type="http://schemas.openxmlformats.org/officeDocument/2006/relationships/hyperlink" Id="rId86"/>
    <Relationship TargetMode="External" Target="https://www.legis.iowa.gov/docs/ico/chapter/708.pdf" Type="http://schemas.openxmlformats.org/officeDocument/2006/relationships/hyperlink" Id="rId87"/>
    <Relationship TargetMode="External" Target="https://www.legis.iowa.gov/docs/ico/chapter/726.3.pdf" Type="http://schemas.openxmlformats.org/officeDocument/2006/relationships/hyperlink" Id="rId88"/>
    <Relationship TargetMode="External" Target="https://www.legis.iowa.gov/docs/iac/rule/481.67.18.pdf" Type="http://schemas.openxmlformats.org/officeDocument/2006/relationships/hyperlink" Id="rId89"/>
    <Relationship TargetMode="External" Target="https://www.legis.iowa.gov/docs/iac/rule/481.67.18.pdf" Type="http://schemas.openxmlformats.org/officeDocument/2006/relationships/hyperlink" Id="rId90"/>
    <Relationship TargetMode="External" Target="https://www.legis.iowa.gov/docs/iac/rule/481.67.18.pdf" Type="http://schemas.openxmlformats.org/officeDocument/2006/relationships/hyperlink" Id="rId91"/>
    <Relationship TargetMode="External" Target="https://www.legis.iowa.gov/docs/iac/rule/481.67.18.pdf" Type="http://schemas.openxmlformats.org/officeDocument/2006/relationships/hyperlink" Id="rId92"/>
    <Relationship TargetMode="External" Target="https://www.legis.iowa.gov/docs/ico/chapter/135C.33.pdf" Type="http://schemas.openxmlformats.org/officeDocument/2006/relationships/hyperlink" Id="rId93"/>
    <Relationship TargetMode="External" Target="https://www.legis.iowa.gov/docs/iac/rule/481.67.18.pdf" Type="http://schemas.openxmlformats.org/officeDocument/2006/relationships/hyperlink" Id="rId94"/>
    <Relationship TargetMode="External" Target="https://www.legis.iowa.gov/docs/iac/rule/481.67.18.pdf" Type="http://schemas.openxmlformats.org/officeDocument/2006/relationships/hyperlink" Id="rId95"/>
    <Relationship TargetMode="External" Target="https://www.legis.iowa.gov/docs/iac/rule/481.67.19.pdf" Type="http://schemas.openxmlformats.org/officeDocument/2006/relationships/hyperlink" Id="rId96"/>
    <Relationship TargetMode="External" Target="http://dia-hfd.iowa.gov" Type="http://schemas.openxmlformats.org/officeDocument/2006/relationships/hyperlink" Id="rId97"/>
    <Relationship TargetMode="External" Target="http://dia-hfd.iowa.gov" Type="http://schemas.openxmlformats.org/officeDocument/2006/relationships/hyperlink" Id="rId98"/>
    <Relationship TargetMode="External" Target="http://dia-hfd.iowa.gov" Type="http://schemas.openxmlformats.org/officeDocument/2006/relationships/hyperlink" Id="rId99"/>
    <Relationship TargetMode="External" Target="http://dia-hfd.iowa.gov" Type="http://schemas.openxmlformats.org/officeDocument/2006/relationships/hyperlink" Id="rId100"/>
    <Relationship TargetMode="External" Target="https://www.legis.iowa.gov/docs/iac/rule/481.67.10.pdf" Type="http://schemas.openxmlformats.org/officeDocument/2006/relationships/hyperlink" Id="rId101"/>
    <Relationship TargetMode="External" Target="https://www.legis.iowa.gov/docs/iac/rule/481.67.12.pdf" Type="http://schemas.openxmlformats.org/officeDocument/2006/relationships/hyperlink" Id="rId102"/>
    <Relationship TargetMode="External" Target="https://www.legis.iowa.gov/docs/ico/chapter/231B.pdf" Type="http://schemas.openxmlformats.org/officeDocument/2006/relationships/hyperlink" Id="rId103"/>
    <Relationship TargetMode="External" Target="https://www.legis.iowa.gov/docs/ico/chapter/231C.pdf" Type="http://schemas.openxmlformats.org/officeDocument/2006/relationships/hyperlink" Id="rId104"/>
    <Relationship TargetMode="External" Target="https://www.legis.iowa.gov/docs/ico/chapter/231D.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