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652</w:t>
      </w:r>
    </w:p>
    <w:p>
      <w:pPr>
        <w:spacing w:before="0" w:after="0"/>
        <w:ind w:left="120"/>
        <w:jc w:val="center"/>
      </w:pPr>
      <w:r>
        <w:rPr>
          <w:rFonts w:ascii="Times New Roman" w:hAnsi="Times New Roman"/>
          <w:b w:val="false"/>
          <w:i w:val="false"/>
          <w:color w:val="000000"/>
          <w:sz w:val="21"/>
        </w:rPr>
        <w:t>PERMANENT AND ADMINISTRATIVE MEDICINE PHYSICIAN LICENSURE</w:t>
      </w:r>
    </w:p>
    <w:p>
      <w:pPr>
        <w:spacing w:before="0" w:after="0"/>
        <w:ind w:left="120"/>
        <w:jc w:val="center"/>
      </w:pPr>
      <w:r>
        <w:rPr>
          <w:rFonts w:ascii="Times New Roman" w:hAnsi="Times New Roman"/>
          <w:b w:val="false"/>
          <w:i w:val="false"/>
          <w:color w:val="000000"/>
          <w:sz w:val="14"/>
        </w:rPr>
        <w:t>[Prior to 5/30/01, see Medical Examiners Board[653] Ch 11]</w:t>
      </w:r>
    </w:p>
    <w:p>
      <w:pPr>
        <w:spacing w:before="0" w:after="0"/>
        <w:ind w:left="120"/>
        <w:jc w:val="center"/>
      </w:pPr>
      <w:r>
        <w:rPr>
          <w:rFonts w:ascii="Times New Roman" w:hAnsi="Times New Roman"/>
          <w:b w:val="false"/>
          <w:i w:val="false"/>
          <w:color w:val="000000"/>
          <w:sz w:val="14"/>
        </w:rPr>
        <w:t>[Prior to 6/11/25, see Medicine Board[653]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481—652.1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osteopathic medicine and surgery, or administrative medicine in this state by making application to the board, or a physician who seeks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 person who applies to sit for an examination administered by the board or its designated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“COCA” </w:t>
      </w:r>
      <w:r>
        <w:rPr>
          <w:rFonts w:ascii="Times New Roman" w:hAnsi="Times New Roman"/>
          <w:b w:val="false"/>
          <w:i w:val="false"/>
          <w:color w:val="000000"/>
          <w:sz w:val="22"/>
        </w:rPr>
        <w:t>means the Commission on Osteopathic College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means the Comprehensive Osteopathic Medical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credentials” </w:t>
      </w:r>
      <w:r>
        <w:rPr>
          <w:rFonts w:ascii="Times New Roman" w:hAnsi="Times New Roman"/>
          <w:b w:val="false"/>
          <w:i w:val="false"/>
          <w:color w:val="000000"/>
          <w:sz w:val="22"/>
        </w:rPr>
        <w:t>means those documents that demonstrate the applicant’s identity, medical training and practice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active status” </w:t>
      </w:r>
      <w:r>
        <w:rPr>
          <w:rFonts w:ascii="Times New Roman" w:hAnsi="Times New Roman"/>
          <w:b w:val="false"/>
          <w:i w:val="false"/>
          <w:color w:val="000000"/>
          <w:sz w:val="22"/>
        </w:rPr>
        <w:t>means a license that is in effect and grants the privilege of practicing administrative medicine, medicine and surgery or osteopathic medicine and surgery,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“Expedited license” </w:t>
      </w:r>
      <w:r>
        <w:rPr>
          <w:rFonts w:ascii="Times New Roman" w:hAnsi="Times New Roman"/>
          <w:b w:val="false"/>
          <w:i w:val="false"/>
          <w:color w:val="000000"/>
          <w:sz w:val="22"/>
        </w:rPr>
        <w:t>means a full and unrestricted medical license granted by a member state to an eligible physician through the process set forth in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 </w:t>
      </w:r>
      <w:r>
        <w:rPr>
          <w:rFonts w:ascii="Times New Roman" w:hAnsi="Times New Roman"/>
          <w:b w:val="false"/>
          <w:i w:val="false"/>
          <w:color w:val="000000"/>
          <w:sz w:val="22"/>
        </w:rPr>
        <w:t>means the Federation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medical school,” </w:t>
      </w:r>
      <w:r>
        <w:rPr>
          <w:rFonts w:ascii="Times New Roman" w:hAnsi="Times New Roman"/>
          <w:b w:val="false"/>
          <w:i w:val="false"/>
          <w:color w:val="000000"/>
          <w:sz w:val="22"/>
        </w:rPr>
        <w:t>also known as an “international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“IMLC” </w:t>
      </w:r>
      <w:r>
        <w:rPr>
          <w:rFonts w:ascii="Times New Roman" w:hAnsi="Times New Roman"/>
          <w:b w:val="false"/>
          <w:i w:val="false"/>
          <w:color w:val="000000"/>
          <w:sz w:val="22"/>
        </w:rPr>
        <w:t xml:space="preserve">means the Interstate Medical Licensure Compact enacted in Iowa Code chapter </w:t>
      </w:r>
      <w:hyperlink r:id="rId5">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in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6">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may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means the first permanent or administrative medicine license granted to a qualified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medical school,” </w:t>
      </w:r>
      <w:r>
        <w:rPr>
          <w:rFonts w:ascii="Times New Roman" w:hAnsi="Times New Roman"/>
          <w:b w:val="false"/>
          <w:i w:val="false"/>
          <w:color w:val="000000"/>
          <w:sz w:val="22"/>
        </w:rPr>
        <w:t>also known as a “foreign medical school,” means a medical school that is located outside of any United States jurisdiction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commission” </w:t>
      </w:r>
      <w:r>
        <w:rPr>
          <w:rFonts w:ascii="Times New Roman" w:hAnsi="Times New Roman"/>
          <w:b w:val="false"/>
          <w:i w:val="false"/>
          <w:color w:val="000000"/>
          <w:sz w:val="22"/>
        </w:rPr>
        <w:t xml:space="preserve">means the interstate commission created pursuant to Iowa Code chapter </w:t>
      </w:r>
      <w:hyperlink r:id="rId7">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means enrollment in the Canadian Medical Register as Licentiate of Medical Council of Canada with a certificate of registration as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“MCCEE” </w:t>
      </w:r>
      <w:r>
        <w:rPr>
          <w:rFonts w:ascii="Times New Roman" w:hAnsi="Times New Roman"/>
          <w:b w:val="false"/>
          <w:i w:val="false"/>
          <w:color w:val="000000"/>
          <w:sz w:val="22"/>
        </w:rPr>
        <w:t>means the Medical Council of Canada Evaluating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 foreign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Practitioner Data Bank” </w:t>
      </w:r>
      <w:r>
        <w:rPr>
          <w:rFonts w:ascii="Times New Roman" w:hAnsi="Times New Roman"/>
          <w:b w:val="false"/>
          <w:i w:val="false"/>
          <w:color w:val="000000"/>
          <w:sz w:val="22"/>
        </w:rPr>
        <w:t>is a national data bank of disciplinary actions taken against health professionals, including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means the National Board of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“NBOME” </w:t>
      </w:r>
      <w:r>
        <w:rPr>
          <w:rFonts w:ascii="Times New Roman" w:hAnsi="Times New Roman"/>
          <w:b w:val="false"/>
          <w:i w:val="false"/>
          <w:color w:val="000000"/>
          <w:sz w:val="22"/>
        </w:rPr>
        <w:t>means the National Board of Osteopathic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“Observer” </w:t>
      </w:r>
      <w:r>
        <w:rPr>
          <w:rFonts w:ascii="Times New Roman" w:hAnsi="Times New Roman"/>
          <w:b w:val="false"/>
          <w:i w:val="false"/>
          <w:color w:val="000000"/>
          <w:sz w:val="22"/>
        </w:rPr>
        <w:t xml:space="preserve">means a person who is not enrolled in an LCME- or COCA-accredited medical school or osteopathic medical school, who observes care to patients in Iowa for a defined period of time and for a noncredit experience, and who is supervised and accompanied by an Iowa-licensed physician as defined in subrule </w:t>
      </w:r>
      <w:hyperlink r:id="rId8">
        <w:r>
          <w:rPr>
            <w:rStyle w:val="Hyperlink"/>
            <w:rFonts w:ascii="Times New Roman" w:hAnsi="Times New Roman"/>
            <w:b w:val="false"/>
            <w:i w:val="false"/>
            <w:color w:val="000000"/>
            <w:sz w:val="22"/>
          </w:rPr>
          <w:t>652.2(3)</w:t>
        </w:r>
      </w:hyperlink>
      <w:r>
        <w:rPr>
          <w:rFonts w:ascii="Times New Roman" w:hAnsi="Times New Roman"/>
          <w:b w:val="false"/>
          <w:i w:val="false"/>
          <w:color w:val="000000"/>
          <w:sz w:val="22"/>
        </w:rPr>
        <w:t>. An observer shall not provide or direct hands-on patient care, regardless of the observer’s level of training or supervision. The supervising physician may authorize an observer to read a chart, observe a patient interview or examination, or witness procedures, including surgery. An observer shall not chart; touch a patient as part of an examination; conduct an interview; order, prescribe or administer medications; make decisions that affect patient care; direct others in providing patient care; or conduct procedures, including surgery. Any of these activities requires licensure to practice in Iowa. An unlicensed physician observer or a medical student observer who is not enrolled in an LCME- or COCA-accredited medical school may touch a patient to verify a physical finding in the immediate presence of a physician but shall not conduct a more inclusive physical examination.</w:t>
      </w:r>
    </w:p>
    <w:p>
      <w:pPr>
        <w:spacing w:before="0" w:after="0"/>
        <w:ind w:left="120"/>
        <w:jc w:val="both"/>
      </w:pPr>
      <w:r>
        <w:rPr>
          <w:rFonts w:ascii="Times New Roman" w:hAnsi="Times New Roman"/>
          <w:b w:val="false"/>
          <w:i w:val="false"/>
          <w:color w:val="000000"/>
          <w:sz w:val="22"/>
        </w:rPr>
        <w:t>An unlicensed physician observer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Participate in discussions regarding the care of individual patients, including offering suggestions about diagnosis or treatment, provided the unlicensed physician observer does not direct the care;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Elicit information from a patient provided the unlicensed physician observer does not actually perform a physical examination or otherwise touch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core credentials to determine that the individual is qualified to enter into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source verification”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Verification of the authenticity of documents with the original source that issued the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Original source verification by another jurisdiction’s physician licensing organization.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Original source verification by the FSMB’s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means the process for returning an inactive license to current,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“Relinquishment” </w:t>
      </w:r>
      <w:r>
        <w:rPr>
          <w:rFonts w:ascii="Times New Roman" w:hAnsi="Times New Roman"/>
          <w:b w:val="false"/>
          <w:i w:val="false"/>
          <w:color w:val="000000"/>
          <w:sz w:val="22"/>
        </w:rPr>
        <w:t>means that a person’s permanent license to practice medicine and surgery, osteopathic medicine and surgery, or administrative medicine is deemed abandoned if the person fails to renew or reactivate the license within five years after its expiration. A license that has been relinquished is no longer valid or renewable. Relinquishment is not disciplinary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license” </w:t>
      </w:r>
      <w:r>
        <w:rPr>
          <w:rFonts w:ascii="Times New Roman" w:hAnsi="Times New Roman"/>
          <w:b w:val="false"/>
          <w:i w:val="false"/>
          <w:color w:val="000000"/>
          <w:sz w:val="22"/>
        </w:rPr>
        <w:t>means a nondisciplinary process by which an Iowa license issued through the Interstate Medical Licensure Compact is no longer eligible for renewal. A compact license is terminated when a licensee no longer meets the IMLC qualifications. A terminated IMLC license may not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“USMLE” </w:t>
      </w:r>
      <w:r>
        <w:rPr>
          <w:rFonts w:ascii="Times New Roman" w:hAnsi="Times New Roman"/>
          <w:b w:val="false"/>
          <w:i w:val="false"/>
          <w:color w:val="000000"/>
          <w:sz w:val="22"/>
        </w:rPr>
        <w:t>means the United States Medical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(147,148) </w:t>
      </w:r>
      <w:r>
        <w:rPr>
          <w:rFonts w:ascii="Times New Roman" w:hAnsi="Times New Roman"/>
          <w:b/>
          <w:i w:val="false"/>
          <w:color w:val="000000"/>
          <w:sz w:val="22"/>
        </w:rPr>
        <w:t xml:space="preserve">General licensure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9">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subrule </w:t>
      </w:r>
      <w:hyperlink r:id="rId10">
        <w:r>
          <w:rPr>
            <w:rStyle w:val="Hyperlink"/>
            <w:rFonts w:ascii="Times New Roman" w:hAnsi="Times New Roman"/>
            <w:b w:val="false"/>
            <w:i w:val="false"/>
            <w:color w:val="000000"/>
            <w:sz w:val="22"/>
          </w:rPr>
          <w:t>652.2(1)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Licensure not required. </w:t>
      </w:r>
      <w:r>
        <w:rPr>
          <w:rFonts w:ascii="Times New Roman" w:hAnsi="Times New Roman"/>
          <w:b w:val="false"/>
          <w:i w:val="false"/>
          <w:color w:val="000000"/>
          <w:sz w:val="22"/>
        </w:rPr>
        <w:t>The following persons are not required to obtain a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described in Iowa Code section </w:t>
      </w:r>
      <w:hyperlink r:id="rId11">
        <w:r>
          <w:rPr>
            <w:rStyle w:val="Hyperlink"/>
            <w:rFonts w:ascii="Times New Roman" w:hAnsi="Times New Roman"/>
            <w:b w:val="false"/>
            <w:i w:val="false"/>
            <w:color w:val="000000"/>
            <w:sz w:val="22"/>
          </w:rPr>
          <w:t>148.2(1) through 148.2(5)</w:t>
        </w:r>
      </w:hyperlink>
      <w:r>
        <w:rPr>
          <w:rFonts w:ascii="Times New Roman" w:hAnsi="Times New Roman"/>
          <w:b w:val="false"/>
          <w:i w:val="false"/>
          <w:color w:val="000000"/>
          <w:sz w:val="22"/>
        </w:rPr>
        <w:t xml:space="preserve">. A medical student or osteopathic medical student in an international medical school may not take on the role of a medical student in the patient care setting unless the student is enrolled in the University of Iowa’s Carver College of Medicine or in Des Moines University’s College of Osteopathic Medicine; however, an international medical student or graduate of an international medical school not enrolled at either of these institutions may be an observer as defined in rule </w:t>
      </w:r>
      <w:hyperlink r:id="rId12">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who are incidentally called into this state in consultation with a physician or surgeon licensed in this state as described in Iowa Code section </w:t>
      </w:r>
      <w:hyperlink r:id="rId13">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and as defined in rule </w:t>
      </w:r>
      <w:hyperlink r:id="rId14">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and surgeons who hold a current, active license in good standing in another United States jurisdiction and who come into Iowa on a temporary basis to aid disaster victims at the time of a disaster in accordance with Iowa Code section </w:t>
      </w:r>
      <w:hyperlink r:id="rId1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to Iowa to participate in further medical education may participate in patient care under the request and supervision of the patient’s Iowa-licensed physician in charge of the education. The Iowa-licensed physician shall retain the primary responsibility for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hold a current, active license in good standing in another United States jurisdiction and who come into Iowa to serve as expert witnesses as long as they do not provide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from out of state who hold a current, active license in good standing in another United States jurisdiction and who accompany one or more individuals into Iowa for the purpose of providing medical care to these individuals on a short-term basis; e.g., a team physician for an out-of-state college football team that comes into Iowa for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and surgeons who come to Iowa to observe patient care and who do not provide or direct hands-on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Visiting resident physicians who come to Iowa to practice as part of their resident training program if under the supervision of an Iowa-licensed physician. An Iowa physician license is not required of a physician in training if the physician has a resident or permanent license in good standing in the home state of the resident training program. An Iowa temporary license is required of a physician in training if the physician does not hold a resident or permanent physician license in good standing in the home state of the resident training program (more information can be found in rule </w:t>
      </w:r>
      <w:hyperlink r:id="rId16">
        <w:r>
          <w:rPr>
            <w:rStyle w:val="Hyperlink"/>
            <w:rFonts w:ascii="Times New Roman" w:hAnsi="Times New Roman"/>
            <w:b w:val="false"/>
            <w:i w:val="false"/>
            <w:color w:val="000000"/>
            <w:sz w:val="22"/>
          </w:rPr>
          <w:t>481—653.5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an observer. </w:t>
      </w:r>
      <w:r>
        <w:rPr>
          <w:rFonts w:ascii="Times New Roman" w:hAnsi="Times New Roman"/>
          <w:b w:val="false"/>
          <w:i w:val="false"/>
          <w:color w:val="000000"/>
          <w:sz w:val="22"/>
        </w:rPr>
        <w:t xml:space="preserve">An Iowa-licensed physician who supervises an observer shall accompany the observer and solicit consent from each patient, where feasible, for the observation. The physician shall inform the patient of the observer’s background; e.g., a high school student considering a medical career or a medical graduate who is working on licensure. The supervising physician ensures that the observer remains within the scope of an observer as defined in rule </w:t>
      </w:r>
      <w:hyperlink r:id="rId17">
        <w:r>
          <w:rPr>
            <w:rStyle w:val="Hyperlink"/>
            <w:rFonts w:ascii="Times New Roman" w:hAnsi="Times New Roman"/>
            <w:b w:val="false"/>
            <w:i w:val="false"/>
            <w:color w:val="000000"/>
            <w:sz w:val="22"/>
          </w:rPr>
          <w:t>481—652.1</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481—652.3</w:t>
      </w:r>
      <w:r>
        <w:rPr>
          <w:rFonts w:ascii="Times New Roman" w:hAnsi="Times New Roman"/>
          <w:b/>
          <w:i w:val="false"/>
          <w:color w:val="000000"/>
          <w:sz w:val="22"/>
        </w:rPr>
        <w:t xml:space="preserve">(147,148)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be eligible for permanent or administrative medicine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rule </w:t>
      </w:r>
      <w:hyperlink r:id="rId18">
        <w:r>
          <w:rPr>
            <w:rStyle w:val="Hyperlink"/>
            <w:rFonts w:ascii="Times New Roman" w:hAnsi="Times New Roman"/>
            <w:b w:val="false"/>
            <w:i w:val="false"/>
            <w:color w:val="000000"/>
            <w:sz w:val="22"/>
          </w:rPr>
          <w:t>481—652.4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shall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the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shall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the MCCEE;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have successfully completed three years of resident training in a program approved by the board; and have submitted evidence of five years of active practice without restriction as a licensee of any United States or Canadian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successfully passed either a basic science examination administered by a United States or Canadian medical licensing authority or SPEX; and hold board certification by a specialty board approved by ABMS or AOA; and submit evidence of five years of active practice without restriction as a licensee of any United States or Canadian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one year of resident training in a hospital-affiliated program approved by the board at the time the applicant was enrolled in the program. An applicant who is a graduate of an international medical school must have successfully completed 24 months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required to have 12 months of training, the program shall have been 12 months of progressive training in not more than two specialties and in not more than two programs approved for resident training by the board. For those required to have 24 months of training, the program shall have been 24 continuous months of progressive training in not more than two specialties and in not more than two programs approved for resident training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training approved by the board must be accredited by an accrediting agency recognized by the board for the purpose of accrediting resident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approves resident training programs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ACGME;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RCPSC;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CFPC.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resident training that is not accredited as specified in subparagraph </w:t>
      </w:r>
      <w:hyperlink r:id="rId19">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 on a case-by-case basis. In making this determination, the board may consider any relevant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time the program has been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institution or organization that administers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that the program is not accredited;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program is accredited or recognized by any agency other than those listed in subparagraph </w:t>
      </w:r>
      <w:hyperlink r:id="rId20">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resident training in a hospital-affiliated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accept a current, active ABMS or AOA board certification obtained through an alternate pathway as equivalent to resident training in a hospital-affiliated program approved by the board. The alternate pathway must be a minimum of 24 months completed at an institution with a program approved by the board as specified in subparagraph </w:t>
      </w:r>
      <w:hyperlink r:id="rId21">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licensure examinations or combinations as prescribed in rule </w:t>
      </w:r>
      <w:hyperlink r:id="rId22">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or a veteran may apply for credit for verified military education, training, or service toward any experience or educational requirement for permanent licensure under this subrule or may be eligible for permanent licensure through reciprocity as specified in </w:t>
      </w:r>
      <w:hyperlink r:id="rId23">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valid Letter of Qualification asserting eligibility for licensure through the IMLC is eligible for a permanent Iowa medical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481—652.4</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24">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the application and forms provided by the board, including required core credentials, documents, a completed fingerprint packet, and a sworn statement by the applicant attesting to the truth of all information provided by the applicant that has been signed by the applicant in the physical presence of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Pass one of the examinations as prescribed in rule </w:t>
      </w:r>
      <w:hyperlink r:id="rId25">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 and authorize the testing authority to verify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statement of scores on any licensure examination required in rule </w:t>
      </w:r>
      <w:hyperlink r:id="rId26">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 that the applicant has taken in any jurisdiction.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shall be submitted. An official transcript, written in English and received directly from the school, showing graduation from medical school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medical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or its equivalent, received directly from the school for every medical school attended if requested by the board. A complete translation of any transcript not written in English shall be submitted if requested by the board.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a current ECFMG status report or evidence of successful completion of a fifth pathway program in accordance with criteria established by AMA.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27">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481—652.5</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currently licensed as a physician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initial application fee and fee for the evaluation of the fingerprint packet and the criminal history background checks by the DCI and the FBI as specified in </w:t>
      </w:r>
      <w:hyperlink r:id="rId28">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 examination as required by rule </w:t>
      </w:r>
      <w:hyperlink r:id="rId30">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section except for passing a required examination specific to the laws of this state may be issued a temporary license that is valid for a period of three months and may be renewed once for an additional period of three months. The applicant must submit proof of passing the required examination before the temporary license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481—652.6</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652.6(1)</w:t>
      </w:r>
      <w:r>
        <w:rPr>
          <w:rFonts w:ascii="Times New Roman" w:hAnsi="Times New Roman"/>
          <w:b w:val="false"/>
          <w:i w:val="false"/>
          <w:color w:val="000000"/>
          <w:sz w:val="22"/>
        </w:rPr>
        <w:t> </w:t>
      </w:r>
      <w:r>
        <w:rPr>
          <w:rFonts w:ascii="Times New Roman" w:hAnsi="Times New Roman"/>
          <w:b w:val="false"/>
          <w:i/>
          <w:color w:val="000000"/>
          <w:sz w:val="22"/>
        </w:rPr>
        <w:t xml:space="preserve">USMLE.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USMLE is a multipart examination consisting of Step 1, Step 2, and Step 3. Steps 1 and 2 are administered by NBME and ECFMG. The board contracts with FSMB for the administration of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are available at Department of Examination Services, FSMB, 400 Fuller Wiser Road, Suite 300, Euless, Texas 76039, or </w:t>
      </w:r>
      <w:hyperlink r:id="rId31">
        <w:r>
          <w:rPr>
            <w:rStyle w:val="Hyperlink"/>
            <w:rFonts w:ascii="Times New Roman" w:hAnsi="Times New Roman"/>
            <w:b w:val="false"/>
            <w:i w:val="false"/>
            <w:color w:val="000000"/>
            <w:sz w:val="22"/>
            <w:u w:val="single"/>
          </w:rPr>
          <w:t>www.fsmb.org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Candidates who meet the following requirements are eligible to take USMLE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form and pay the required examination fee as specified in rule </w:t>
      </w:r>
      <w:hyperlink r:id="rId32">
        <w:r>
          <w:rPr>
            <w:rStyle w:val="Hyperlink"/>
            <w:rFonts w:ascii="Times New Roman" w:hAnsi="Times New Roman"/>
            <w:b w:val="false"/>
            <w:i w:val="false"/>
            <w:color w:val="000000"/>
            <w:sz w:val="22"/>
          </w:rPr>
          <w:t>481—651.3</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USMLE Steps 1 and 2 in accordance with the requirements of NBME. Graduates of a foreign medical school shall meet the requirements of ECFMG.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holding a medical degree from a board-approved educational institution. If a candidate holds a medical degree from an educational institution not approved by the board at the time the applicant graduated and was awarded the degree, the candidate shall meet the requirements specified in subparagraph </w:t>
      </w:r>
      <w:hyperlink r:id="rId33">
        <w:r>
          <w:rPr>
            <w:rStyle w:val="Hyperlink"/>
            <w:rFonts w:ascii="Times New Roman" w:hAnsi="Times New Roman"/>
            <w:b w:val="false"/>
            <w:i w:val="false"/>
            <w:color w:val="000000"/>
            <w:sz w:val="22"/>
          </w:rPr>
          <w:t>652.3(1)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 successful completion of a minimum of seven calendar months of resident training in a program approved by the board at the time of the application for Step 3 or enrollment in a resident training program approved by the board at the time of the application for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conditions apply to applicants for licensure in Iowa who utilize USMLE as the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Passing Steps 1, 2, and 3 is required within a ten-year period beginning with the date of passing either Step 1 or Step 2, whichever occurred first. If the applicant did not pass Steps 1, 2, and 3 within the required time frame, then the requirement will be satisfied by either proof of active board certification by the ABMS or AOA or proof the delay was caused by participation in a joint M.D./Ph.D. or D.O./Ph.D.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3 may be taken and passed only after Steps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75 or better on each step shall constitute a passing score on that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Step 1 or six attempts on Step 2 CK and Step 2 CS combined or three attempts on Step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652.6(2)</w:t>
      </w:r>
      <w:r>
        <w:rPr>
          <w:rFonts w:ascii="Times New Roman" w:hAnsi="Times New Roman"/>
          <w:b w:val="false"/>
          <w:i w:val="false"/>
          <w:color w:val="000000"/>
          <w:sz w:val="22"/>
        </w:rPr>
        <w:t> </w:t>
      </w:r>
      <w:r>
        <w:rPr>
          <w:rFonts w:ascii="Times New Roman" w:hAnsi="Times New Roman"/>
          <w:b w:val="false"/>
          <w:i/>
          <w:color w:val="000000"/>
          <w:sz w:val="22"/>
        </w:rPr>
        <w:t xml:space="preserve">NBME. </w:t>
      </w:r>
      <w:r>
        <w:rPr>
          <w:rFonts w:ascii="Times New Roman" w:hAnsi="Times New Roman"/>
          <w:b w:val="false"/>
          <w:i w:val="false"/>
          <w:color w:val="000000"/>
          <w:sz w:val="22"/>
        </w:rPr>
        <w:t>Successful completion of NBME Parts I, II and III with a passing score of 75 or better on each part is required for NBME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652.6(3)</w:t>
      </w:r>
      <w:r>
        <w:rPr>
          <w:rFonts w:ascii="Times New Roman" w:hAnsi="Times New Roman"/>
          <w:b w:val="false"/>
          <w:i w:val="false"/>
          <w:color w:val="000000"/>
          <w:sz w:val="22"/>
        </w:rPr>
        <w:t> </w:t>
      </w:r>
      <w:r>
        <w:rPr>
          <w:rFonts w:ascii="Times New Roman" w:hAnsi="Times New Roman"/>
          <w:b w:val="false"/>
          <w:i/>
          <w:color w:val="000000"/>
          <w:sz w:val="22"/>
        </w:rPr>
        <w:t xml:space="preserve">FLEX.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(Old) FLEX is a three-day examination administered from 1968 to 1985. Applicants who took (Old) FLEX shall provide evidence of successful achievement of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under seal that the applicant passed FLEX with a FLEX-weighted average of 75 percent or better, as determined by the state medical licensing authority, in no more than two sittings.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under seal of medical licensure in the state that administered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by an American specialty board approved or recognized by the Council of Medical Education of AMA, ABMS, or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FLEX is a three-day nationally standardized examination administered from 1985 to 1994. To be eligible for licensure, the candidate must have passed both components with a FLEX score of 75 or better within a seven-year period beginning with the date of initial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652.6(4)</w:t>
      </w:r>
      <w:r>
        <w:rPr>
          <w:rFonts w:ascii="Times New Roman" w:hAnsi="Times New Roman"/>
          <w:b w:val="false"/>
          <w:i w:val="false"/>
          <w:color w:val="000000"/>
          <w:sz w:val="22"/>
        </w:rPr>
        <w:t> </w:t>
      </w:r>
      <w:r>
        <w:rPr>
          <w:rFonts w:ascii="Times New Roman" w:hAnsi="Times New Roman"/>
          <w:b w:val="false"/>
          <w:i/>
          <w:color w:val="000000"/>
          <w:sz w:val="22"/>
        </w:rPr>
        <w:t xml:space="preserve">Combination examination sequences. </w:t>
      </w:r>
      <w:r>
        <w:rPr>
          <w:rFonts w:ascii="Times New Roman" w:hAnsi="Times New Roman"/>
          <w:b w:val="false"/>
          <w:i w:val="false"/>
          <w:color w:val="000000"/>
          <w:sz w:val="22"/>
        </w:rPr>
        <w:t>The board approved the following licensing combinations of examinations for licensure only if completed prior to January 1, 2000. These combinations are now only acceptable from an applicant who already holds a license from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FLEX Component I plus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FLEX Component II with a passing score of 75 or better on each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NBME Part I or USMLE Step 1 plus NBME Part II or USMLE Step 2 plus NBME Part III or USMLE Step 3 with a passing score of 75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652.6(5)</w:t>
      </w:r>
      <w:r>
        <w:rPr>
          <w:rFonts w:ascii="Times New Roman" w:hAnsi="Times New Roman"/>
          <w:b w:val="false"/>
          <w:i w:val="false"/>
          <w:color w:val="000000"/>
          <w:sz w:val="22"/>
        </w:rPr>
        <w:t> </w:t>
      </w:r>
      <w:r>
        <w:rPr>
          <w:rFonts w:ascii="Times New Roman" w:hAnsi="Times New Roman"/>
          <w:b w:val="false"/>
          <w:i/>
          <w:color w:val="000000"/>
          <w:sz w:val="22"/>
        </w:rPr>
        <w:t xml:space="preserve">COMLEX. </w:t>
      </w:r>
      <w:r>
        <w:rPr>
          <w:rFonts w:ascii="Times New Roman" w:hAnsi="Times New Roman"/>
          <w:b w:val="false"/>
          <w:i w:val="false"/>
          <w:color w:val="000000"/>
          <w:sz w:val="22"/>
        </w:rPr>
        <w:t>COMLEX is a three-level examination that replaced the three-part NBOME examination. All three examinations must be successfully completed in sequential order within ten years of the successful completion of COMLEX Level 1. If the applicant did not pass Levels 1, 2, and 3 within the required time frame, then the requirement will be satisfied by either proof of active board certification by the ABMS or AOA or proof the delay was caused by participation in a joint D.O./Ph.D. or M.D./Ph.D.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standard score of 400 on Level 1 or Level 2 is required to pass the examination. A standard score of 350 on Level 3 is required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Level 3 or enrollment in a resident training program approved by the board at the time of the application for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continuous, progressive three-year resident training program is required if the applicant passes the examination after more than six attempts on Level 1 or six attempts on Level 2 CE and Level 2 PF combined or three attempts on Level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COMLEX level must be passed individually, and individual level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Level 3 may be taken and passed only after Levels 1 and 2 are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failure of any COMLEX level, regardless of the jurisdiction for which it was taken, shall be considered a failure of that level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652.6(6)</w:t>
      </w:r>
      <w:r>
        <w:rPr>
          <w:rFonts w:ascii="Times New Roman" w:hAnsi="Times New Roman"/>
          <w:b w:val="false"/>
          <w:i w:val="false"/>
          <w:color w:val="000000"/>
          <w:sz w:val="22"/>
        </w:rPr>
        <w:t> </w:t>
      </w:r>
      <w:r>
        <w:rPr>
          <w:rFonts w:ascii="Times New Roman" w:hAnsi="Times New Roman"/>
          <w:b w:val="false"/>
          <w:i/>
          <w:color w:val="000000"/>
          <w:sz w:val="22"/>
        </w:rPr>
        <w:t xml:space="preserve">NBOME.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NBOME was a three-part examination. All three parts must have been successfully completed in sequential order within seven years of the successful completion of NBOME Part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is required on each part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candidate shall have successfully completed a minimum of seven calendar months of resident training in a program approved by the board at the time of the application for NBOME Part 3. Candidates shall have completed their resident training by the last day of the month in which the examination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three-year resident training program is required if the applicant passes the examination after more than six attempts on Part 1 or six attempts on Part 2 or three attempts on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NBOME part must have been passed individually, and individual part scores shall not be averaged to compute an overall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3 must have been taken and passed only after Parts 1 and 2 were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failure of any NBOME part, regardless of the jurisdiction for which it was taken, shall be considered a failure of that part for the purposes of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652.6(7)</w:t>
      </w:r>
      <w:r>
        <w:rPr>
          <w:rFonts w:ascii="Times New Roman" w:hAnsi="Times New Roman"/>
          <w:b w:val="false"/>
          <w:i w:val="false"/>
          <w:color w:val="000000"/>
          <w:sz w:val="22"/>
        </w:rPr>
        <w:t> </w:t>
      </w:r>
      <w:r>
        <w:rPr>
          <w:rFonts w:ascii="Times New Roman" w:hAnsi="Times New Roman"/>
          <w:b w:val="false"/>
          <w:i/>
          <w:color w:val="000000"/>
          <w:sz w:val="22"/>
        </w:rPr>
        <w:t xml:space="preserve">LMCC. </w:t>
      </w:r>
      <w:r>
        <w:rPr>
          <w:rFonts w:ascii="Times New Roman" w:hAnsi="Times New Roman"/>
          <w:b w:val="false"/>
          <w:i w:val="false"/>
          <w:color w:val="000000"/>
          <w:sz w:val="22"/>
        </w:rPr>
        <w:t>The board accepts toward Iowa licensure a verification of a licensee’s registration with the Medical Council of Canada, based on passing both parts of the Medical Council of Canada Qualifying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652.6(8)</w:t>
      </w:r>
      <w:r>
        <w:rPr>
          <w:rFonts w:ascii="Times New Roman" w:hAnsi="Times New Roman"/>
          <w:b w:val="false"/>
          <w:i w:val="false"/>
          <w:color w:val="000000"/>
          <w:sz w:val="22"/>
        </w:rPr>
        <w:t> </w:t>
      </w:r>
      <w:r>
        <w:rPr>
          <w:rFonts w:ascii="Times New Roman" w:hAnsi="Times New Roman"/>
          <w:b w:val="false"/>
          <w:i/>
          <w:color w:val="000000"/>
          <w:sz w:val="22"/>
        </w:rPr>
        <w:t xml:space="preserve">State licensing examinations. </w:t>
      </w:r>
      <w:r>
        <w:rPr>
          <w:rFonts w:ascii="Times New Roman" w:hAnsi="Times New Roman"/>
          <w:b w:val="false"/>
          <w:i w:val="false"/>
          <w:color w:val="000000"/>
          <w:sz w:val="22"/>
        </w:rPr>
        <w:t>Licensing examinations administered by the board of medicine or another U.S. jurisdiction prior to 1974 are accepted if the examination was passed according to criteria established by that state at the time and led to licensure in that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481—652.7</w:t>
      </w:r>
      <w:r>
        <w:rPr>
          <w:rFonts w:ascii="Times New Roman" w:hAnsi="Times New Roman"/>
          <w:b/>
          <w:i w:val="false"/>
          <w:color w:val="000000"/>
          <w:sz w:val="22"/>
        </w:rPr>
        <w:t xml:space="preserve">(147,148) </w:t>
      </w:r>
      <w:r>
        <w:rPr>
          <w:rFonts w:ascii="Times New Roman" w:hAnsi="Times New Roman"/>
          <w:b/>
          <w:i w:val="false"/>
          <w:color w:val="000000"/>
          <w:sz w:val="22"/>
        </w:rPr>
        <w:t xml:space="preserve">Permanent licensure application review process. </w:t>
      </w:r>
      <w:r>
        <w:rPr>
          <w:rFonts w:ascii="Times New Roman" w:hAnsi="Times New Roman"/>
          <w:b w:val="false"/>
          <w:i w:val="false"/>
          <w:color w:val="000000"/>
          <w:sz w:val="22"/>
        </w:rPr>
        <w:t>The process below is utilized to review each application. Priority is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652.7(1)</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will be considered open from the date the application form is received in the board office with the nonrefundable initial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652.7(2)</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board staff will notify the applicant about how to resolve any problems.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652.7(3)</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652.7(4)</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physician, the executive director, director of licensure and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652.7(5)</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652.7(6)</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652.7(7)</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652.7(8)</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4">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481—652.8</w:t>
      </w:r>
      <w:r>
        <w:rPr>
          <w:rFonts w:ascii="Times New Roman" w:hAnsi="Times New Roman"/>
          <w:b/>
          <w:i w:val="false"/>
          <w:color w:val="000000"/>
          <w:sz w:val="22"/>
        </w:rPr>
        <w:t xml:space="preserve">(147,148) </w:t>
      </w:r>
      <w:r>
        <w:rPr>
          <w:rFonts w:ascii="Times New Roman" w:hAnsi="Times New Roman"/>
          <w:b/>
          <w:i w:val="false"/>
          <w:color w:val="000000"/>
          <w:sz w:val="22"/>
        </w:rPr>
        <w:t xml:space="preserve">Licensure application cycle.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application materials.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will be considered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the application. </w:t>
      </w:r>
      <w:r>
        <w:rPr>
          <w:rFonts w:ascii="Times New Roman" w:hAnsi="Times New Roman"/>
          <w:b w:val="false"/>
          <w:i w:val="false"/>
          <w:color w:val="000000"/>
          <w:sz w:val="22"/>
        </w:rPr>
        <w:t xml:space="preserve">To reactivate the application, an applicant shall submit a nonrefundable fee for reactivation of the application as specified in </w:t>
      </w:r>
      <w:hyperlink r:id="rId35">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If the application is not reactivated within 30 days, the application for licensure is withdrawn and the applicant must reapply and submit a new nonrefundable application fee and a new application, documents and core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652.8(3)</w:t>
      </w:r>
      <w:r>
        <w:rPr>
          <w:rFonts w:ascii="Times New Roman" w:hAnsi="Times New Roman"/>
          <w:b w:val="false"/>
          <w:i w:val="false"/>
          <w:color w:val="000000"/>
          <w:sz w:val="22"/>
        </w:rPr>
        <w:t> </w:t>
      </w:r>
      <w:r>
        <w:rPr>
          <w:rFonts w:ascii="Times New Roman" w:hAnsi="Times New Roman"/>
          <w:b w:val="false"/>
          <w:i/>
          <w:color w:val="000000"/>
          <w:sz w:val="22"/>
        </w:rPr>
        <w:t xml:space="preserve">Period of reactivation. </w:t>
      </w:r>
      <w:r>
        <w:rPr>
          <w:rFonts w:ascii="Times New Roman" w:hAnsi="Times New Roman"/>
          <w:b w:val="false"/>
          <w:i w:val="false"/>
          <w:color w:val="000000"/>
          <w:sz w:val="22"/>
        </w:rPr>
        <w:t>The period for reactivation of application shall extend 90 days from the date the request and fee are received in the board office. During this period, the applicant shall update core credentials and submit the remaining requested materials. If the applicant does not update core credentials or submit all materials during the 90-day period of reactivation, the application for licensure is withdrawn and the applicant must reapply and submit a new nonrefundable application fee and a new application, documents and core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481—652.9</w:t>
      </w:r>
      <w:r>
        <w:rPr>
          <w:rFonts w:ascii="Times New Roman" w:hAnsi="Times New Roman"/>
          <w:b/>
          <w:i w:val="false"/>
          <w:color w:val="000000"/>
          <w:sz w:val="22"/>
        </w:rPr>
        <w:t xml:space="preserve">(147,148) </w:t>
      </w:r>
      <w:r>
        <w:rPr>
          <w:rFonts w:ascii="Times New Roman" w:hAnsi="Times New Roman"/>
          <w:b/>
          <w:i w:val="false"/>
          <w:color w:val="000000"/>
          <w:sz w:val="22"/>
        </w:rPr>
        <w:t xml:space="preserve">Discretionary board actions on licensure applications. </w:t>
      </w:r>
      <w:r>
        <w:rPr>
          <w:rFonts w:ascii="Times New Roman" w:hAnsi="Times New Roman"/>
          <w:b w:val="false"/>
          <w:i w:val="false"/>
          <w:color w:val="000000"/>
          <w:sz w:val="22"/>
        </w:rPr>
        <w:t>As circumstances warrant, the board may determine that any applicant for licensure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val="false"/>
          <w:color w:val="000000"/>
          <w:sz w:val="22"/>
        </w:rPr>
        <w:t>The board may impose limits or restrictions on the practice of any applicant in this state that are equal in force to the limits or restrictions imposed on the applicant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val="false"/>
          <w:color w:val="000000"/>
          <w:sz w:val="22"/>
        </w:rPr>
        <w:t>The board may defer final action on an application for licensure if there is an investigation or disciplinary action pending against an applicant in any jurisdiction until such time as the board is satisfied that licensure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val="false"/>
          <w:color w:val="000000"/>
          <w:sz w:val="22"/>
        </w:rPr>
        <w:t>The board is not precluded from taking disciplinary action after licensure is granted related to issues that arose in the licensure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481—652.10</w:t>
      </w:r>
      <w:r>
        <w:rPr>
          <w:rFonts w:ascii="Times New Roman" w:hAnsi="Times New Roman"/>
          <w:b/>
          <w:i w:val="false"/>
          <w:color w:val="000000"/>
          <w:sz w:val="22"/>
        </w:rPr>
        <w:t xml:space="preserve">(147,148) </w:t>
      </w:r>
      <w:r>
        <w:rPr>
          <w:rFonts w:ascii="Times New Roman" w:hAnsi="Times New Roman"/>
          <w:b/>
          <w:i w:val="false"/>
          <w:color w:val="000000"/>
          <w:sz w:val="22"/>
        </w:rPr>
        <w:t xml:space="preserve">Issuance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Upon the granting of permanent or administrative medicine licensure, staff will issue a license to practice that will expire on the first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of persons born in even-numbered years shall expire in an even-numbered year, and licenses of persons born in odd-numbered years shall expire in an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not be issued for a period less than two months or greater than two years and two months, in accordance with the licensee’s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resident physician receives a permanent Iowa license, the resident physician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special license receives a permanent Iowa license, the special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physician with a permanent Iowa license receives an Iowa administrative medicine license, the permanent Iowa license will immediately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with an active permanent Iowa license is ineligible for an Iowa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652.10(2)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certificate. </w:t>
      </w:r>
      <w:r>
        <w:rPr>
          <w:rFonts w:ascii="Times New Roman" w:hAnsi="Times New Roman"/>
          <w:b w:val="false"/>
          <w:i w:val="false"/>
          <w:color w:val="000000"/>
          <w:sz w:val="22"/>
        </w:rPr>
        <w:t>The license certificate shall be displayed in the licensee’s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481—652.11</w:t>
      </w:r>
      <w:r>
        <w:rPr>
          <w:rFonts w:ascii="Times New Roman" w:hAnsi="Times New Roman"/>
          <w:b/>
          <w:i w:val="false"/>
          <w:color w:val="000000"/>
          <w:sz w:val="22"/>
        </w:rPr>
        <w:t xml:space="preserve">(147,148) </w:t>
      </w:r>
      <w:r>
        <w:rPr>
          <w:rFonts w:ascii="Times New Roman" w:hAnsi="Times New Roman"/>
          <w:b/>
          <w:i w:val="false"/>
          <w:color w:val="000000"/>
          <w:sz w:val="22"/>
        </w:rPr>
        <w:t xml:space="preserve">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652.11(1)</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A licensee shall notify the board of any change in the home address, the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A licensee shall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652.11(3)</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 file shall be closed and labeled “deceased” when the board receives a copy of the physician’s death certificate or other reliable information of the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652.11(4)</w:t>
      </w:r>
      <w:r>
        <w:rPr>
          <w:rFonts w:ascii="Times New Roman" w:hAnsi="Times New Roman"/>
          <w:b w:val="false"/>
          <w:i w:val="false"/>
          <w:color w:val="000000"/>
          <w:sz w:val="22"/>
        </w:rPr>
        <w:t> </w:t>
      </w:r>
      <w:r>
        <w:rPr>
          <w:rFonts w:ascii="Times New Roman" w:hAnsi="Times New Roman"/>
          <w:b w:val="false"/>
          <w:i/>
          <w:color w:val="000000"/>
          <w:sz w:val="22"/>
        </w:rPr>
        <w:t xml:space="preserve">Practice name. </w:t>
      </w:r>
      <w:r>
        <w:rPr>
          <w:rFonts w:ascii="Times New Roman" w:hAnsi="Times New Roman"/>
          <w:b w:val="false"/>
          <w:i w:val="false"/>
          <w:color w:val="000000"/>
          <w:sz w:val="22"/>
        </w:rPr>
        <w:t>A licensee shall practice under the licensee’s full legal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481—652.12</w:t>
      </w:r>
      <w:r>
        <w:rPr>
          <w:rFonts w:ascii="Times New Roman" w:hAnsi="Times New Roman"/>
          <w:b/>
          <w:i w:val="false"/>
          <w:color w:val="000000"/>
          <w:sz w:val="22"/>
        </w:rPr>
        <w:t xml:space="preserve">(147,148) </w:t>
      </w:r>
      <w:r>
        <w:rPr>
          <w:rFonts w:ascii="Times New Roman" w:hAnsi="Times New Roman"/>
          <w:b/>
          <w:i w:val="false"/>
          <w:color w:val="000000"/>
          <w:sz w:val="22"/>
        </w:rPr>
        <w:t xml:space="preserve">Renewal of a permanent or administrative medicine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652.12(1)</w:t>
      </w:r>
      <w:r>
        <w:rPr>
          <w:rFonts w:ascii="Times New Roman" w:hAnsi="Times New Roman"/>
          <w:b w:val="false"/>
          <w:i w:val="false"/>
          <w:color w:val="000000"/>
          <w:sz w:val="22"/>
        </w:rPr>
        <w:t> </w:t>
      </w:r>
      <w:r>
        <w:rPr>
          <w:rFonts w:ascii="Times New Roman" w:hAnsi="Times New Roman"/>
          <w:b w:val="false"/>
          <w:i/>
          <w:color w:val="000000"/>
          <w:sz w:val="22"/>
        </w:rPr>
        <w:t xml:space="preserve">Licensee obligation.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requirements. </w:t>
      </w:r>
      <w:r>
        <w:rPr>
          <w:rFonts w:ascii="Times New Roman" w:hAnsi="Times New Roman"/>
          <w:b w:val="false"/>
          <w:i w:val="false"/>
          <w:color w:val="000000"/>
          <w:sz w:val="22"/>
        </w:rPr>
        <w:t>A licensee seeking renewal shall submit a completed renewal application; information on continuing education, training on chronic pain management, training on end-of-life care, and training on identifying and reporting abuse; and the required fee prior to the expiration date on the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renewal are specified in </w:t>
      </w:r>
      <w:hyperlink r:id="rId36">
        <w:r>
          <w:rPr>
            <w:rStyle w:val="Hyperlink"/>
            <w:rFonts w:ascii="Times New Roman" w:hAnsi="Times New Roman"/>
            <w:b w:val="false"/>
            <w:i w:val="false"/>
            <w:color w:val="000000"/>
            <w:sz w:val="22"/>
          </w:rPr>
          <w:t>481—subparagraph 651.4(1)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renewal fee due for a physician who was on active duty in the U.S. armed forces, reserves or national guard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renew before the expiration of the license is charged a penalty fee as set forth in </w:t>
      </w:r>
      <w:hyperlink r:id="rId37">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for continuing education and training on identifying and reporting abuse are found in </w:t>
      </w:r>
      <w:hyperlink r:id="rId38">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652.12(3)</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renewal. </w:t>
      </w:r>
      <w:r>
        <w:rPr>
          <w:rFonts w:ascii="Times New Roman" w:hAnsi="Times New Roman"/>
          <w:b w:val="false"/>
          <w:i w:val="false"/>
          <w:color w:val="000000"/>
          <w:sz w:val="22"/>
        </w:rPr>
        <w:t>Upon receipt of the completed renewal application, staff will administratively issue a two-year license that expires on the first day of the licensee’s birth month.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652.12(4)</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 xml:space="preserve">The license will become inactive and invalid if the licensee fails to renew a license within two months following its expiration date. A licensee whose license is invalid or inactive is prohibited from practice until the license is reactivated in accordance with rule </w:t>
      </w:r>
      <w:hyperlink r:id="rId39">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652.12(5)</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Renewal licenses shall be displayed along with the license certificate in the primary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481—652.13</w:t>
      </w:r>
      <w:r>
        <w:rPr>
          <w:rFonts w:ascii="Times New Roman" w:hAnsi="Times New Roman"/>
          <w:b/>
          <w:i w:val="false"/>
          <w:color w:val="000000"/>
          <w:sz w:val="22"/>
        </w:rPr>
        <w:t xml:space="preserve">(147,148) </w:t>
      </w:r>
      <w:r>
        <w:rPr>
          <w:rFonts w:ascii="Times New Roman" w:hAnsi="Times New Roman"/>
          <w:b/>
          <w:i w:val="false"/>
          <w:color w:val="000000"/>
          <w:sz w:val="22"/>
        </w:rPr>
        <w:t xml:space="preserve">Inactive status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inactive status. </w:t>
      </w:r>
      <w:r>
        <w:rPr>
          <w:rFonts w:ascii="Times New Roman" w:hAnsi="Times New Roman"/>
          <w:b w:val="false"/>
          <w:i w:val="false"/>
          <w:color w:val="000000"/>
          <w:sz w:val="22"/>
        </w:rPr>
        <w:t>An inactive license is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“Inactive status” may include licenses formerly known as delinquent, lapsed,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whose license is inactive continues to hold the privilege of licensure in Iowa but may not practice medicine under an Iowa license until the license is reactivated to current, active status. A licensee who practices under an Iowa license when the license is inactive may be subject to disciplinary action by the board, injunctive action pursuant to Iowa Code section </w:t>
      </w:r>
      <w:hyperlink r:id="rId4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4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or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652.13(2)</w:t>
      </w:r>
      <w:r>
        <w:rPr>
          <w:rFonts w:ascii="Times New Roman" w:hAnsi="Times New Roman"/>
          <w:b w:val="false"/>
          <w:i w:val="false"/>
          <w:color w:val="000000"/>
          <w:sz w:val="22"/>
        </w:rPr>
        <w:t> </w:t>
      </w:r>
      <w:r>
        <w:rPr>
          <w:rFonts w:ascii="Times New Roman" w:hAnsi="Times New Roman"/>
          <w:b w:val="false"/>
          <w:i/>
          <w:color w:val="000000"/>
          <w:sz w:val="22"/>
        </w:rPr>
        <w:t xml:space="preserve">Mechanisms for becoming inactive. </w:t>
      </w:r>
      <w:r>
        <w:rPr>
          <w:rFonts w:ascii="Times New Roman" w:hAnsi="Times New Roman"/>
          <w:b w:val="false"/>
          <w:i w:val="false"/>
          <w:color w:val="000000"/>
          <w:sz w:val="22"/>
        </w:rPr>
        <w:t>A licensee seeking to become inactive may submit a written request to the board office, or a license may become inactive by failing to renew a license by the first day of the third month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481—652.14</w:t>
      </w:r>
      <w:r>
        <w:rPr>
          <w:rFonts w:ascii="Times New Roman" w:hAnsi="Times New Roman"/>
          <w:b/>
          <w:i w:val="false"/>
          <w:color w:val="000000"/>
          <w:sz w:val="22"/>
        </w:rPr>
        <w:t xml:space="preserve">(147,148) </w:t>
      </w:r>
      <w:r>
        <w:rPr>
          <w:rFonts w:ascii="Times New Roman" w:hAnsi="Times New Roman"/>
          <w:b/>
          <w:i w:val="false"/>
          <w:color w:val="000000"/>
          <w:sz w:val="22"/>
        </w:rPr>
        <w:t xml:space="preserve">Reactivation of an unrestricted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652.14(1)</w:t>
      </w:r>
      <w:r>
        <w:rPr>
          <w:rFonts w:ascii="Times New Roman" w:hAnsi="Times New Roman"/>
          <w:b w:val="false"/>
          <w:i w:val="false"/>
          <w:color w:val="000000"/>
          <w:sz w:val="22"/>
        </w:rPr>
        <w:t> </w:t>
      </w:r>
      <w:r>
        <w:rPr>
          <w:rFonts w:ascii="Times New Roman" w:hAnsi="Times New Roman"/>
          <w:b w:val="false"/>
          <w:i/>
          <w:color w:val="000000"/>
          <w:sz w:val="22"/>
        </w:rPr>
        <w:t xml:space="preserve">Reactivation within one year of the license’s becoming inactive. </w:t>
      </w:r>
      <w:r>
        <w:rPr>
          <w:rFonts w:ascii="Times New Roman" w:hAnsi="Times New Roman"/>
          <w:b w:val="false"/>
          <w:i w:val="false"/>
          <w:color w:val="000000"/>
          <w:sz w:val="22"/>
        </w:rPr>
        <w:t>An individual whose license is in inactive status for up to one year and who wishes to reinstate the license shall submit a completed renewal application; the reinstatement fee; documentation of continuing education; and, if applicable, documentation on training on chronic pain management, end-of-life care, and identifying and reporting abuse. All of the information shall be received in the board office within one year of the license’s becoming inactive for the applicant to reinstate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for reactivation of an unrestricted Iowa license within one year of the license’s becoming inactive. </w:t>
      </w:r>
      <w:r>
        <w:rPr>
          <w:rFonts w:ascii="Times New Roman" w:hAnsi="Times New Roman"/>
          <w:b w:val="false"/>
          <w:i w:val="false"/>
          <w:color w:val="000000"/>
          <w:sz w:val="22"/>
        </w:rPr>
        <w:t xml:space="preserve">The reactivation fee is specified in </w:t>
      </w:r>
      <w:hyperlink r:id="rId42">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r>
        <w:rPr>
          <w:rFonts w:ascii="Times New Roman" w:hAnsi="Times New Roman"/>
          <w:b w:val="false"/>
          <w:i w:val="false"/>
          <w:color w:val="000000"/>
          <w:sz w:val="22"/>
        </w:rPr>
        <w:t>Applicants for reactivation shall provide documentation of having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category 1 credit needed for renewal in the most recent license period. None of the credits obtained in the inactive period may be carried over to a future license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on chronic pain management, end-of-life care, and identifying and reporting abuse, if applicable,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Issuance of a reactivated license. </w:t>
      </w:r>
      <w:r>
        <w:rPr>
          <w:rFonts w:ascii="Times New Roman" w:hAnsi="Times New Roman"/>
          <w:b w:val="false"/>
          <w:i w:val="false"/>
          <w:color w:val="000000"/>
          <w:sz w:val="22"/>
        </w:rPr>
        <w:t>Upon receiving the completed application, staff will administratively issue a license that expires on the renewal date that would have been in effect if the licensee had renewed the license before the license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application process. </w:t>
      </w:r>
      <w:r>
        <w:rPr>
          <w:rFonts w:ascii="Times New Roman" w:hAnsi="Times New Roman"/>
          <w:b w:val="false"/>
          <w:i w:val="false"/>
          <w:color w:val="000000"/>
          <w:sz w:val="22"/>
        </w:rPr>
        <w:t xml:space="preserve">The applicant who fails to submit all reinstatement information required within 365 days of the license’s becoming inactive shall be required to meet the reinstatement requirements of subrule </w:t>
      </w:r>
      <w:hyperlink r:id="rId43">
        <w:r>
          <w:rPr>
            <w:rStyle w:val="Hyperlink"/>
            <w:rFonts w:ascii="Times New Roman" w:hAnsi="Times New Roman"/>
            <w:b w:val="false"/>
            <w:i w:val="false"/>
            <w:color w:val="000000"/>
            <w:sz w:val="22"/>
          </w:rPr>
          <w:t>652.15(2)</w:t>
        </w:r>
      </w:hyperlink>
      <w:r>
        <w:rPr>
          <w:rFonts w:ascii="Times New Roman" w:hAnsi="Times New Roman"/>
          <w:b w:val="false"/>
          <w:i w:val="false"/>
          <w:color w:val="000000"/>
          <w:sz w:val="22"/>
        </w:rPr>
        <w:t>. For example, if a physician’s license expires on January 1, the completed reinstatement application is due in the board office by December 31, in order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652.14(2)</w:t>
      </w:r>
      <w:r>
        <w:rPr>
          <w:rFonts w:ascii="Times New Roman" w:hAnsi="Times New Roman"/>
          <w:b w:val="false"/>
          <w:i w:val="false"/>
          <w:color w:val="000000"/>
          <w:sz w:val="22"/>
        </w:rPr>
        <w:t> </w:t>
      </w:r>
      <w:r>
        <w:rPr>
          <w:rFonts w:ascii="Times New Roman" w:hAnsi="Times New Roman"/>
          <w:b w:val="false"/>
          <w:i/>
          <w:color w:val="000000"/>
          <w:sz w:val="22"/>
        </w:rPr>
        <w:t xml:space="preserve">Reactivation of an unrestricted Iowa license that has been inactive for one year or longer. </w:t>
      </w:r>
      <w:r>
        <w:rPr>
          <w:rFonts w:ascii="Times New Roman" w:hAnsi="Times New Roman"/>
          <w:b w:val="false"/>
          <w:i w:val="false"/>
          <w:color w:val="000000"/>
          <w:sz w:val="22"/>
        </w:rPr>
        <w:t>An individual whose license is in inactive status and who has not submitted a reactivation application that was received by the board within one year of the license’s becoming inactive shall follow the application cycle specified in this rule and shall satisfy the following requirements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reactivation to the board. 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license number,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successful completion of resident training approved by the board as specified in paragraph </w:t>
      </w:r>
      <w:hyperlink r:id="rId44">
        <w:r>
          <w:rPr>
            <w:rStyle w:val="Hyperlink"/>
            <w:rFonts w:ascii="Times New Roman" w:hAnsi="Times New Roman"/>
            <w:b w:val="false"/>
            <w:i w:val="false"/>
            <w:color w:val="000000"/>
            <w:sz w:val="22"/>
          </w:rPr>
          <w:t>652.3(1)</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was completed since the time of initial licensure. An official FCVS Physician Information Profile that supplies this information for the applicant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the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Copies of the legal documents may be requested if needed during the review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plus the fee for the evaluation of the fingerprint packet and the DCI and FBI criminal history background checks specified in </w:t>
      </w:r>
      <w:hyperlink r:id="rId45">
        <w:r>
          <w:rPr>
            <w:rStyle w:val="Hyperlink"/>
            <w:rFonts w:ascii="Times New Roman" w:hAnsi="Times New Roman"/>
            <w:b w:val="false"/>
            <w:i w:val="false"/>
            <w:color w:val="000000"/>
            <w:sz w:val="22"/>
          </w:rPr>
          <w:t>481—paragraph 651.4(1)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documentation of completion of 40 hours of category 1 credit within the previous two years and documentation of training on chronic pain management, end-of-life care, and identifying and reporting abuse as specified in </w:t>
      </w:r>
      <w:hyperlink r:id="rId4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physician has not engaged in active clinical practice or board-approved training in the past three years in any jurisdiction of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SPEX, COMVEX-USA, or another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retraining program arranged by the physician and approved in advance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is able to submit a letter from the board with different reactivation criteria is eligible for reactivation based on those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481—652.15</w:t>
      </w:r>
      <w:r>
        <w:rPr>
          <w:rFonts w:ascii="Times New Roman" w:hAnsi="Times New Roman"/>
          <w:b/>
          <w:i w:val="false"/>
          <w:color w:val="000000"/>
          <w:sz w:val="22"/>
        </w:rPr>
        <w:t xml:space="preserve">(147,148) </w:t>
      </w:r>
      <w:r>
        <w:rPr>
          <w:rFonts w:ascii="Times New Roman" w:hAnsi="Times New Roman"/>
          <w:b/>
          <w:i w:val="false"/>
          <w:color w:val="000000"/>
          <w:sz w:val="22"/>
        </w:rPr>
        <w:t xml:space="preserve">Reinstatement of a restricted Iowa license. </w:t>
      </w:r>
      <w:r>
        <w:rPr>
          <w:rFonts w:ascii="Times New Roman" w:hAnsi="Times New Roman"/>
          <w:b w:val="false"/>
          <w:i w:val="false"/>
          <w:color w:val="000000"/>
          <w:sz w:val="22"/>
        </w:rPr>
        <w:t xml:space="preserve">A physician whose license has been suspended or revoked following a disciplinary proceeding is required to seek reinstatement pursuant to </w:t>
      </w:r>
      <w:hyperlink r:id="rId47">
        <w:r>
          <w:rPr>
            <w:rStyle w:val="Hyperlink"/>
            <w:rFonts w:ascii="Times New Roman" w:hAnsi="Times New Roman"/>
            <w:b w:val="false"/>
            <w:i w:val="false"/>
            <w:color w:val="000000"/>
            <w:sz w:val="22"/>
          </w:rPr>
          <w:t>481—Chapter 663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481—652.16</w:t>
      </w:r>
      <w:r>
        <w:rPr>
          <w:rFonts w:ascii="Times New Roman" w:hAnsi="Times New Roman"/>
          <w:b/>
          <w:i w:val="false"/>
          <w:color w:val="000000"/>
          <w:sz w:val="22"/>
        </w:rPr>
        <w:t xml:space="preserve">(147,148) </w:t>
      </w:r>
      <w:r>
        <w:rPr>
          <w:rFonts w:ascii="Times New Roman" w:hAnsi="Times New Roman"/>
          <w:b/>
          <w:i w:val="false"/>
          <w:color w:val="000000"/>
          <w:sz w:val="22"/>
        </w:rPr>
        <w:t xml:space="preserve">Relinquishment of license to practice. </w:t>
      </w:r>
      <w:r>
        <w:rPr>
          <w:rFonts w:ascii="Times New Roman" w:hAnsi="Times New Roman"/>
          <w:b w:val="false"/>
          <w:i w:val="false"/>
          <w:color w:val="000000"/>
          <w:sz w:val="22"/>
        </w:rPr>
        <w:t>A person’s permanent license to practice medicine and surgery, osteopathic medicine and surgery, or administrative medicine shall be deemed relinquished if the person fails to apply for renewal or reactivation of the license within five years after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will not be reinstated, reissued, or restored once it is relinquished. The person may apply for a new license pursuant to Iowa Code sections </w:t>
      </w:r>
      <w:hyperlink r:id="rId4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 xml:space="preserve"> and 481—Chapters </w:t>
      </w:r>
      <w:hyperlink r:id="rId50">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652.16(2)</w:t>
      </w:r>
      <w:r>
        <w:rPr>
          <w:rFonts w:ascii="Times New Roman" w:hAnsi="Times New Roman"/>
          <w:b w:val="false"/>
          <w:i w:val="false"/>
          <w:color w:val="000000"/>
          <w:sz w:val="22"/>
        </w:rPr>
        <w:t> </w:t>
      </w:r>
      <w:r>
        <w:rPr>
          <w:rFonts w:ascii="Times New Roman" w:hAnsi="Times New Roman"/>
          <w:b w:val="false"/>
          <w:i w:val="false"/>
          <w:color w:val="000000"/>
          <w:sz w:val="22"/>
        </w:rPr>
        <w:t>The relinquishment of license may be stayed if, at the date of relinquishment, there is an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order pursuant to Iowa Code section </w:t>
      </w:r>
      <w:hyperlink r:id="rId52">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481—662.4</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Combined statement of charges and settlement agreement pursuant to Iowa Code sections </w:t>
      </w:r>
      <w:hyperlink r:id="rId54">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481—subrule 506.35(1)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charges pursuant to Iowa Code section </w:t>
      </w:r>
      <w:hyperlink r:id="rId57">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481—506.5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 pursuant to Iowa Code sections </w:t>
      </w:r>
      <w:hyperlink r:id="rId59">
        <w:r>
          <w:rPr>
            <w:rStyle w:val="Hyperlink"/>
            <w:rFonts w:ascii="Times New Roman" w:hAnsi="Times New Roman"/>
            <w:b w:val="false"/>
            <w:i w:val="false"/>
            <w:color w:val="000000"/>
            <w:sz w:val="22"/>
          </w:rPr>
          <w:t>17A.10(2)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272C.3(4)</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decision pursuant to Iowa Code sections </w:t>
      </w:r>
      <w:hyperlink r:id="rId6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64">
        <w:r>
          <w:rPr>
            <w:rStyle w:val="Hyperlink"/>
            <w:rFonts w:ascii="Times New Roman" w:hAnsi="Times New Roman"/>
            <w:b w:val="false"/>
            <w:i w:val="false"/>
            <w:color w:val="000000"/>
            <w:sz w:val="22"/>
          </w:rPr>
          <w:t>481—506.25</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reactivation of the license pursuant to rule </w:t>
      </w:r>
      <w:hyperlink r:id="rId65">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 xml:space="preserve">(147,148) or </w:t>
      </w:r>
      <w:hyperlink r:id="rId66">
        <w:r>
          <w:rPr>
            <w:rStyle w:val="Hyperlink"/>
            <w:rFonts w:ascii="Times New Roman" w:hAnsi="Times New Roman"/>
            <w:b w:val="false"/>
            <w:i w:val="false"/>
            <w:color w:val="000000"/>
            <w:sz w:val="22"/>
          </w:rPr>
          <w:t>481—652.16</w:t>
        </w:r>
      </w:hyperlink>
      <w:r>
        <w:rPr>
          <w:rFonts w:ascii="Times New Roman" w:hAnsi="Times New Roman"/>
          <w:b w:val="false"/>
          <w:i w:val="false"/>
          <w:color w:val="000000"/>
          <w:sz w:val="22"/>
        </w:rPr>
        <w:t>(147,148).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481—652.17</w:t>
      </w:r>
      <w:r>
        <w:rPr>
          <w:rFonts w:ascii="Times New Roman" w:hAnsi="Times New Roman"/>
          <w:b/>
          <w:i w:val="false"/>
          <w:color w:val="000000"/>
          <w:sz w:val="22"/>
        </w:rPr>
        <w:t xml:space="preserve">(147,148) </w:t>
      </w:r>
      <w:r>
        <w:rPr>
          <w:rFonts w:ascii="Times New Roman" w:hAnsi="Times New Roman"/>
          <w:b/>
          <w:i w:val="false"/>
          <w:color w:val="000000"/>
          <w:sz w:val="22"/>
        </w:rPr>
        <w:t xml:space="preserve">Administrative medicine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an administrative medicine license shall be made to the board of medicine pursuant to the requirements established in Iowa Code section </w:t>
      </w:r>
      <w:hyperlink r:id="rId67">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An applicant for an administrative medicine license shall be subject to all of the permanent licensure requirements established in Iowa Code section </w:t>
      </w:r>
      <w:hyperlink r:id="rId68">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and this chapter, except that the applicant will not be required to demonstrate that the applicant has engaged in active clinical practice in the past three years as outlined in paragraphs </w:t>
      </w:r>
      <w:hyperlink r:id="rId69">
        <w:r>
          <w:rPr>
            <w:rStyle w:val="Hyperlink"/>
            <w:rFonts w:ascii="Times New Roman" w:hAnsi="Times New Roman"/>
            <w:b w:val="false"/>
            <w:i w:val="false"/>
            <w:color w:val="000000"/>
            <w:sz w:val="22"/>
          </w:rPr>
          <w:t>652.8(7)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652.15(2)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The board may issue an administrative medicine license authorizing the licensee to practice administrative medicine only, as defined by this rule. The license shall be designated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All license and renewal fees shall be paid to the board in accordance with 481—Chapters </w:t>
      </w:r>
      <w:hyperlink r:id="rId71">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initial licensure or reactivation of an administrative medicine license has not actively practiced administrative or clinical medicine in a jurisdiction of the United States or Canada in the past three years, the board may require the applicant to demonstrate competence in a method prescribed by the board in accordance with paragraphs </w:t>
      </w:r>
      <w:hyperlink r:id="rId73">
        <w:r>
          <w:rPr>
            <w:rStyle w:val="Hyperlink"/>
            <w:rFonts w:ascii="Times New Roman" w:hAnsi="Times New Roman"/>
            <w:b w:val="false"/>
            <w:i w:val="false"/>
            <w:color w:val="000000"/>
            <w:sz w:val="22"/>
          </w:rPr>
          <w:t>652.8(7)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652.15(2)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an administrative medicine license and has not engaged in active clinical practice in a jurisdiction of the United States or Canada for more than three years may be required to demonstrate competence to practice clinical medicine in a method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652.17(4)</w:t>
      </w:r>
      <w:r>
        <w:rPr>
          <w:rFonts w:ascii="Times New Roman" w:hAnsi="Times New Roman"/>
          <w:b w:val="false"/>
          <w:i w:val="false"/>
          <w:color w:val="000000"/>
          <w:sz w:val="22"/>
        </w:rPr>
        <w:t> </w:t>
      </w:r>
      <w:r>
        <w:rPr>
          <w:rFonts w:ascii="Times New Roman" w:hAnsi="Times New Roman"/>
          <w:b w:val="false"/>
          <w:i/>
          <w:color w:val="000000"/>
          <w:sz w:val="22"/>
        </w:rPr>
        <w:t xml:space="preserve">No exemptions to laws and rules. </w:t>
      </w:r>
      <w:r>
        <w:rPr>
          <w:rFonts w:ascii="Times New Roman" w:hAnsi="Times New Roman"/>
          <w:b w:val="false"/>
          <w:i w:val="false"/>
          <w:color w:val="000000"/>
          <w:sz w:val="22"/>
        </w:rPr>
        <w:t>A physician with an administrative medicine license is subject to the same laws and rules governing the practice of medicine as a person holding a permanent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652.17(5)</w:t>
      </w:r>
      <w:r>
        <w:rPr>
          <w:rFonts w:ascii="Times New Roman" w:hAnsi="Times New Roman"/>
          <w:b w:val="false"/>
          <w:i w:val="false"/>
          <w:color w:val="000000"/>
          <w:sz w:val="22"/>
        </w:rPr>
        <w:t> </w:t>
      </w:r>
      <w:r>
        <w:rPr>
          <w:rFonts w:ascii="Times New Roman" w:hAnsi="Times New Roman"/>
          <w:b w:val="false"/>
          <w:i/>
          <w:color w:val="000000"/>
          <w:sz w:val="22"/>
        </w:rPr>
        <w:t xml:space="preserve">Interstate medical licensure compact. </w:t>
      </w:r>
      <w:r>
        <w:rPr>
          <w:rFonts w:ascii="Times New Roman" w:hAnsi="Times New Roman"/>
          <w:b w:val="false"/>
          <w:i w:val="false"/>
          <w:color w:val="000000"/>
          <w:sz w:val="22"/>
        </w:rPr>
        <w:t>A physician who holds only an administrative medicine license may not be eligible for licensure under the interstate medical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481—652.18</w:t>
      </w:r>
      <w:r>
        <w:rPr>
          <w:rFonts w:ascii="Times New Roman" w:hAnsi="Times New Roman"/>
          <w:b/>
          <w:i w:val="false"/>
          <w:color w:val="000000"/>
          <w:sz w:val="22"/>
        </w:rPr>
        <w:t xml:space="preserve">(147,147B,148) </w:t>
      </w:r>
      <w:r>
        <w:rPr>
          <w:rFonts w:ascii="Times New Roman" w:hAnsi="Times New Roman"/>
          <w:b/>
          <w:i w:val="false"/>
          <w:color w:val="000000"/>
          <w:sz w:val="22"/>
        </w:rPr>
        <w:t xml:space="preserve">Licensure through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seeking a Letter of Qualification from the board of medicine. </w:t>
      </w:r>
      <w:r>
        <w:rPr>
          <w:rFonts w:ascii="Times New Roman" w:hAnsi="Times New Roman"/>
          <w:b w:val="false"/>
          <w:i w:val="false"/>
          <w:color w:val="000000"/>
          <w:sz w:val="22"/>
        </w:rPr>
        <w:t>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 Iowa as state of principal license. To designate Iowa as state of principal license, the physician must possess a full, unrestricted, permanent Iowa medical license and meet one of the following requirements at the time the application for a Letter of Qualification is reviewed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is the physician’s primary residence,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25 percent of the physician’s medical practice occurs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employer is located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does not meet any of the requirements under subparagraph </w:t>
      </w:r>
      <w:hyperlink r:id="rId75">
        <w:r>
          <w:rPr>
            <w:rStyle w:val="Hyperlink"/>
            <w:rFonts w:ascii="Times New Roman" w:hAnsi="Times New Roman"/>
            <w:b w:val="false"/>
            <w:i w:val="false"/>
            <w:color w:val="000000"/>
            <w:sz w:val="22"/>
          </w:rPr>
          <w:t>652.18(1)</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color w:val="000000"/>
          <w:sz w:val="22"/>
        </w:rPr>
        <w:t>“a”</w:t>
      </w:r>
      <w:r>
        <w:rPr>
          <w:rFonts w:ascii="Times New Roman" w:hAnsi="Times New Roman"/>
          <w:b w:val="false"/>
          <w:i w:val="false"/>
          <w:color w:val="000000"/>
          <w:sz w:val="22"/>
        </w:rPr>
        <w:t xml:space="preserve">(2), or </w:t>
      </w:r>
      <w:r>
        <w:rPr>
          <w:rFonts w:ascii="Times New Roman" w:hAnsi="Times New Roman"/>
          <w:b w:val="false"/>
          <w:i/>
          <w:color w:val="000000"/>
          <w:sz w:val="22"/>
        </w:rPr>
        <w:t>“a”</w:t>
      </w:r>
      <w:r>
        <w:rPr>
          <w:rFonts w:ascii="Times New Roman" w:hAnsi="Times New Roman"/>
          <w:b w:val="false"/>
          <w:i w:val="false"/>
          <w:color w:val="000000"/>
          <w:sz w:val="22"/>
        </w:rPr>
        <w:t>(3), the applicant can designate Iowa as the state of principal license if Iowa is the applicant’s state of residence for the purposes of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 medical school accredited by the LCME, COCA, or a medical school listed in the International Medical Education Directory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Passage of each component of the USMLE or the COMLEX within three attempts, or any of its predecessor examinations accepted by the board as an equivalent examination for licensure purposes as prescribed in rule </w:t>
      </w:r>
      <w:hyperlink r:id="rId76">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graduate medical education approved by the ACGME or the AOA. “Successful completion” means participation in an ACGME or AOA postgraduate training program that achieves ABMS or AOA board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hold specialty certification or a time-unlimited specialty certificate recognized by the ABMS or the AOA. The specialty certification or a time-unlimited specialty certificate does not have to be maintained once a physician is determined to be eligible for licensure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never been convicted of or received adjudication, deferred adjudication, community supervision, or deferred disposition for any criminal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never held a license authorizing the practice of medicine subjected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never had a controlled substance license or permit suspended or revoked by a state or the U.S. Drug Enforcement Administration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 not under active investigation by a licensing agency or law enforcement authority in any state, federal, or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physician seeking licensure through the IMLC who is qualified to designate Iowa as state of principal license shall file an application for a Letter of Qualification with the interstate commission at </w:t>
      </w:r>
      <w:hyperlink r:id="rId77">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 xml:space="preserve"> and pay the nonrefundable service fee. The application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652.18(3)</w:t>
      </w:r>
      <w:r>
        <w:rPr>
          <w:rFonts w:ascii="Times New Roman" w:hAnsi="Times New Roman"/>
          <w:b w:val="false"/>
          <w:i w:val="false"/>
          <w:color w:val="000000"/>
          <w:sz w:val="22"/>
        </w:rPr>
        <w:t> </w:t>
      </w:r>
      <w:r>
        <w:rPr>
          <w:rFonts w:ascii="Times New Roman" w:hAnsi="Times New Roman"/>
          <w:b w:val="false"/>
          <w:i/>
          <w:color w:val="000000"/>
          <w:sz w:val="22"/>
        </w:rPr>
        <w:t xml:space="preserve">Letter of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evaluation of the applicant’s eligibility for licensure, the board will issue a Letter of Qualification to the applicant verifying or denying the applicant’s eligibility. The applicant may appeal a determination of eligibility to the board of medicine within 30 days of issuance of the Letter of Qualification according to the processes outlined in rule </w:t>
      </w:r>
      <w:hyperlink r:id="rId78">
        <w:r>
          <w:rPr>
            <w:rStyle w:val="Hyperlink"/>
            <w:rFonts w:ascii="Times New Roman" w:hAnsi="Times New Roman"/>
            <w:b w:val="false"/>
            <w:i w:val="false"/>
            <w:color w:val="000000"/>
            <w:sz w:val="22"/>
          </w:rPr>
          <w:t>481—652.22</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of Qualification is valid for 365 days from its date of issuance to request licensure in a member state. The physician must maintain eligibility to claim Iowa as the state of principal license or designate a new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652.18(4)</w:t>
      </w:r>
      <w:r>
        <w:rPr>
          <w:rFonts w:ascii="Times New Roman" w:hAnsi="Times New Roman"/>
          <w:b w:val="false"/>
          <w:i w:val="false"/>
          <w:color w:val="000000"/>
          <w:sz w:val="22"/>
        </w:rPr>
        <w:t> </w:t>
      </w:r>
      <w:r>
        <w:rPr>
          <w:rFonts w:ascii="Times New Roman" w:hAnsi="Times New Roman"/>
          <w:b w:val="false"/>
          <w:i/>
          <w:color w:val="000000"/>
          <w:sz w:val="22"/>
        </w:rPr>
        <w:t xml:space="preserve">Expedited licensure. </w:t>
      </w:r>
      <w:r>
        <w:rPr>
          <w:rFonts w:ascii="Times New Roman" w:hAnsi="Times New Roman"/>
          <w:b w:val="false"/>
          <w:i w:val="false"/>
          <w:color w:val="000000"/>
          <w:sz w:val="22"/>
        </w:rPr>
        <w:t>Physicians who have a valid Letter of Qualification may obtain licensure in Iowa through the IMLC. To obtain a permanent Iowa license through the IMLC, a qualified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application process at the IMLC’s website, </w:t>
      </w:r>
      <w:hyperlink r:id="rId79">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licensure fee specified in </w:t>
      </w:r>
      <w:hyperlink r:id="rId80">
        <w:r>
          <w:rPr>
            <w:rStyle w:val="Hyperlink"/>
            <w:rFonts w:ascii="Times New Roman" w:hAnsi="Times New Roman"/>
            <w:b w:val="false"/>
            <w:i w:val="false"/>
            <w:color w:val="000000"/>
            <w:sz w:val="22"/>
          </w:rPr>
          <w:t>481—subrule 651.3(2)</w:t>
        </w:r>
      </w:hyperlink>
      <w:r>
        <w:rPr>
          <w:rFonts w:ascii="Times New Roman" w:hAnsi="Times New Roman"/>
          <w:b w:val="false"/>
          <w:i w:val="false"/>
          <w:color w:val="000000"/>
          <w:sz w:val="22"/>
        </w:rPr>
        <w:t xml:space="preserve"> and any service fees that are required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continuing medical education requirements of the board, including mandatory trainings specified in </w:t>
      </w:r>
      <w:hyperlink r:id="rId81">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652.18(5)</w:t>
      </w:r>
      <w:r>
        <w:rPr>
          <w:rFonts w:ascii="Times New Roman" w:hAnsi="Times New Roman"/>
          <w:b w:val="false"/>
          <w:i w:val="false"/>
          <w:color w:val="000000"/>
          <w:sz w:val="22"/>
        </w:rPr>
        <w:t> </w:t>
      </w:r>
      <w:r>
        <w:rPr>
          <w:rFonts w:ascii="Times New Roman" w:hAnsi="Times New Roman"/>
          <w:b w:val="false"/>
          <w:i/>
          <w:color w:val="000000"/>
          <w:sz w:val="22"/>
        </w:rPr>
        <w:t xml:space="preserve">Validity of a license issued through the IMLC. </w:t>
      </w:r>
      <w:r>
        <w:rPr>
          <w:rFonts w:ascii="Times New Roman" w:hAnsi="Times New Roman"/>
          <w:b w:val="false"/>
          <w:i w:val="false"/>
          <w:color w:val="000000"/>
          <w:sz w:val="22"/>
        </w:rPr>
        <w:t>A license issued through the IMLC is valid for a period consistent with other permanent licenses issued by the board. An Iowa license issued through the IMLC shall be deemed terminated if the licensee fails to maintain a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652.18(6)</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actions against licenses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holding an Iowa license issued through the IMLC are subject to the laws and rules governing the practice of medicine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by another member board of the IMLC against a physician licensed through IMLC shall be deemed unprofessional conduct that may be subject to discipline by the board in addition to any other violation of the board’s rules deemed appropriate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license issued through the IMLC to a physician is revoked, surrendered, or relinquished in lieu of discipline, or suspended by a member board of the IMLC, then the physician’s Iowa expedited license is automatically and immediately suspended, without further action needed, for a period of 90 days upon entry of an order by the board. The 90-day suspension may be terminated early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actions by out-of-state boards can be considered conclusive regarding legal and factual matters. The home board may impose similar or lesser sanctions, as long as the sanctions comply with the board’s laws, or pursue separate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Iowa board, as the physician’s state of principal license, revokes or suspends the physician’s license, or accepts a license surrender in lieu of discipline, then all licenses issued to the physician through the IMLC shall automatically be placed, without further action necessary by any member board, on the same status. If the Iowa board subsequently reinstates the physician’s license, the licenses issued by the other member boards shall remain encumbered until the member boards take action to reinstate the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issued through the IMLC. </w:t>
      </w:r>
      <w:r>
        <w:rPr>
          <w:rFonts w:ascii="Times New Roman" w:hAnsi="Times New Roman"/>
          <w:b w:val="false"/>
          <w:i w:val="false"/>
          <w:color w:val="000000"/>
          <w:sz w:val="22"/>
        </w:rPr>
        <w:t>To be eligible for renewal of a license issued through the IMLC,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 online renewal application on a form provided by the IMLC at </w:t>
      </w:r>
      <w:hyperlink r:id="rId82">
        <w:r>
          <w:rPr>
            <w:rStyle w:val="Hyperlink"/>
            <w:rFonts w:ascii="Times New Roman" w:hAnsi="Times New Roman"/>
            <w:b w:val="false"/>
            <w:i w:val="false"/>
            <w:color w:val="000000"/>
            <w:sz w:val="22"/>
            <w:u w:val="single"/>
          </w:rPr>
          <w:t>www.imlcc.org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attestation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Maintains eligibility to designate a state as the state of principal license, pursuant to paragraph </w:t>
      </w:r>
      <w:hyperlink r:id="rId83">
        <w:r>
          <w:rPr>
            <w:rStyle w:val="Hyperlink"/>
            <w:rFonts w:ascii="Times New Roman" w:hAnsi="Times New Roman"/>
            <w:b w:val="false"/>
            <w:i w:val="false"/>
            <w:color w:val="000000"/>
            <w:sz w:val="22"/>
          </w:rPr>
          <w:t>652.21(1)</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full and unrestricted license in the designated state of principal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not been convicted of or received adjudication, deferred adjudication, community supervision, or deferred disposition for any offense by a court of appropriate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not had a license authorizing the practice of medicine subject to discipline by a licensing agency in any state, federal or foreign jurisdiction, excluding any action related to nonpayment of fees related to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not had a controlled substance license or permit suspended or revoked by a state or the U.S.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licensure fee for the renewal of a license issued through the IMLC and pay any service fee assessed by the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audited, submit verification of completion of continuing medical education requirements set forth in </w:t>
      </w:r>
      <w:hyperlink r:id="rId84">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652.18(8)</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The laws and rules relating to the IMLC cannot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652.18(9)</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opinions. </w:t>
      </w:r>
      <w:r>
        <w:rPr>
          <w:rFonts w:ascii="Times New Roman" w:hAnsi="Times New Roman"/>
          <w:b w:val="false"/>
          <w:i w:val="false"/>
          <w:color w:val="000000"/>
          <w:sz w:val="22"/>
        </w:rPr>
        <w:t>The board will recognize advisory opinions issued by the interstate commission on the meaning or interpretation of the IMLC, its bylaws, rules and actions when determining an applicant’s eligibility for licensure through the IMLC.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481—652.19</w:t>
      </w:r>
      <w:r>
        <w:rPr>
          <w:rFonts w:ascii="Times New Roman" w:hAnsi="Times New Roman"/>
          <w:b/>
          <w:i w:val="false"/>
          <w:color w:val="000000"/>
          <w:sz w:val="22"/>
        </w:rPr>
        <w:t xml:space="preserve">(147,148) </w:t>
      </w:r>
      <w:r>
        <w:rPr>
          <w:rFonts w:ascii="Times New Roman" w:hAnsi="Times New Roman"/>
          <w:b/>
          <w:i w:val="false"/>
          <w:color w:val="000000"/>
          <w:sz w:val="22"/>
        </w:rPr>
        <w:t xml:space="preserve">Denial of licensure, determination of ineligibility for licensure through the IMLC, or termination of a license issued through the IMLC.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licensure denial or a Letter of Qualification that asserts the board has determined that the applicant is ineligible for licensure through the IMLC, or a notice that a medical license is ineligible for renewal through the IMLC, may appeal and request a hearing on the issues related to the preliminary notice of licensure denial or ineligibility for licensure or licensure renewal through the IMLC by serving a request for hearing upon the executive director not more than 30 calendar days following the date when the notice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 or a Letter of Qualification that asserts the applicant is eligible for licensure through the IMLC, or the applicant is eligible for licensure renewal through the IMLC.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licensure denial or a determination of ineligibility for licensure or licensure renewal through the IMLC and requests a hearing, the hearing shall be a contested case and subsequent proceedings shall be conducted in accordance with rule </w:t>
      </w:r>
      <w:hyperlink r:id="rId85">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Hearings for applicants denied licensure, or determined to be ineligible for licensure or licensure renewal through the IMLC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or the determination of ineligibility for licensure or licensure renewal through the IMLC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 or licensure eligibility or licensure renewal through IMLC.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The board shall state the reasons for its decision and may grant the license, grant the license with restrictions or deny the license. The final decision is a public record. After a hearing on ineligibility for licensure renewal through the IMLC, the board may uphold the termination of the license or allow the licensee to renew. The board shall state the reasons for its decision, which is a public record. After a hearing on a Letter of Qualification determination, the board may uphold the ineligible determination or issue a Letter of Qualification asserting the applicant is eligible for licensure through the IMLC. The board shall state the reasons for its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issuing a license with restrictions, terminating a license not eligible for renewal through the IMLC, or upholding a Letter of Qualification asserting that an applicant is ineligible for licensure through the IMLC may be sought in accordance with the provisions of Iowa Code section </w:t>
      </w:r>
      <w:hyperlink r:id="rId8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87">
        <w:r>
          <w:rPr>
            <w:rStyle w:val="Hyperlink"/>
            <w:rFonts w:ascii="Times New Roman" w:hAnsi="Times New Roman"/>
            <w:b w:val="false"/>
            <w:i w:val="false"/>
            <w:color w:val="000000"/>
            <w:sz w:val="22"/>
          </w:rPr>
          <w:t>652.17(2)</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licensure denial or a notice of ineligibility for licensure or licensure renewal through the IMLC, in accordance with subrule </w:t>
      </w:r>
      <w:hyperlink r:id="rId88">
        <w:r>
          <w:rPr>
            <w:rStyle w:val="Hyperlink"/>
            <w:rFonts w:ascii="Times New Roman" w:hAnsi="Times New Roman"/>
            <w:b w:val="false"/>
            <w:i w:val="false"/>
            <w:color w:val="000000"/>
            <w:sz w:val="22"/>
          </w:rPr>
          <w:t>652.17(2)</w:t>
        </w:r>
      </w:hyperlink>
      <w:r>
        <w:rPr>
          <w:rFonts w:ascii="Times New Roman" w:hAnsi="Times New Roman"/>
          <w:b w:val="false"/>
          <w:i w:val="false"/>
          <w:color w:val="000000"/>
          <w:sz w:val="22"/>
        </w:rPr>
        <w:t>, but the applicant fails to pursue that appeal to a final decision within one year from the date of the preliminary notice of licensure denial or a notice of ineligibility for licensure or licensure renewal through the IMLC, the board may dismiss the appeal. The appeal may be dismissed only after the board sends a written notice by first-class mail to the applicant at the applicant’s last-known address. The notice shall state that the appeal will be dismissed and that the preliminary notice of licensure denial or a notice of ineligibility for licensure or licensure renewal through the IMLC will become final if the applicant does not contact the board to schedule the appeal hearing within 30 days of the date the letter is mailed from the board office. Upon dismissal of an appeal, the preliminary notice of licensure denial or a notice of ineligibility for licensure or licensure renewal through the IMLC becomes final. A final decision under this rule is a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147B</w:t>
        </w:r>
      </w:hyperlink>
      <w:r>
        <w:rPr>
          <w:rFonts w:ascii="Times New Roman" w:hAnsi="Times New Roman"/>
          <w:b w:val="false"/>
          <w:i w:val="false"/>
          <w:color w:val="000000"/>
          <w:sz w:val="22"/>
        </w:rPr>
        <w:t>, </w:t>
      </w:r>
      <w:hyperlink r:id="rId9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12/30/04, Notice 11/24/04—published 1/19/05, effective 2/23/05]</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7756B</w:t>
      </w:r>
      <w:r>
        <w:rPr>
          <w:rFonts w:ascii="Times New Roman" w:hAnsi="Times New Roman"/>
          <w:b w:val="false"/>
          <w:i w:val="false"/>
          <w:color w:val="000000"/>
          <w:sz w:val="21"/>
        </w:rPr>
        <w:t xml:space="preserve"> (Notice ARC 7607B,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8554B</w:t>
      </w:r>
      <w:r>
        <w:rPr>
          <w:rFonts w:ascii="Times New Roman" w:hAnsi="Times New Roman"/>
          <w:b w:val="false"/>
          <w:i w:val="false"/>
          <w:color w:val="000000"/>
          <w:sz w:val="21"/>
        </w:rPr>
        <w:t xml:space="preserve"> (Notice ARC 8379B,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0215C</w:t>
      </w:r>
      <w:r>
        <w:rPr>
          <w:rFonts w:ascii="Times New Roman" w:hAnsi="Times New Roman"/>
          <w:b w:val="false"/>
          <w:i w:val="false"/>
          <w:color w:val="000000"/>
          <w:sz w:val="21"/>
        </w:rPr>
        <w:t xml:space="preserve"> (Notice ARC 0090C,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2346C</w:t>
      </w:r>
      <w:r>
        <w:rPr>
          <w:rFonts w:ascii="Times New Roman" w:hAnsi="Times New Roman"/>
          <w:b w:val="false"/>
          <w:i w:val="false"/>
          <w:color w:val="000000"/>
          <w:sz w:val="21"/>
        </w:rPr>
        <w:t xml:space="preserve"> (Notice ARC 2203C, IAB 10/14/15)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r>
        <w:br/>
      </w:r>
      <w:r>
        <w:rPr>
          <w:rFonts w:ascii="Times New Roman" w:hAnsi="Times New Roman"/>
          <w:b w:val="false"/>
          <w:i w:val="false"/>
          <w:color w:val="000000"/>
          <w:sz w:val="21"/>
        </w:rPr>
        <w:t>[Filed ARC 2524C</w:t>
      </w:r>
      <w:r>
        <w:rPr>
          <w:rFonts w:ascii="Times New Roman" w:hAnsi="Times New Roman"/>
          <w:b w:val="false"/>
          <w:i w:val="false"/>
          <w:color w:val="000000"/>
          <w:sz w:val="21"/>
        </w:rPr>
        <w:t xml:space="preserve"> (Notice ARC 2360C,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3587C</w:t>
      </w:r>
      <w:r>
        <w:rPr>
          <w:rFonts w:ascii="Times New Roman" w:hAnsi="Times New Roman"/>
          <w:b w:val="false"/>
          <w:i w:val="false"/>
          <w:color w:val="000000"/>
          <w:sz w:val="21"/>
        </w:rPr>
        <w:t xml:space="preserve"> (Notice ARC 3368C,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6682C</w:t>
      </w:r>
      <w:r>
        <w:rPr>
          <w:rFonts w:ascii="Times New Roman" w:hAnsi="Times New Roman"/>
          <w:b w:val="false"/>
          <w:i w:val="false"/>
          <w:color w:val="000000"/>
          <w:sz w:val="21"/>
        </w:rPr>
        <w:t xml:space="preserve"> (Notice ARC 6378C, IAB 6/29/22)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7074C</w:t>
      </w:r>
      <w:r>
        <w:rPr>
          <w:rFonts w:ascii="Times New Roman" w:hAnsi="Times New Roman"/>
          <w:b w:val="false"/>
          <w:i w:val="false"/>
          <w:color w:val="000000"/>
          <w:sz w:val="21"/>
        </w:rPr>
        <w:t xml:space="preserve"> (Notice ARC 7042C, IAB 6/28/23)</w:t>
      </w:r>
      <w:r>
        <w:rPr>
          <w:rFonts w:ascii="Times New Roman" w:hAnsi="Times New Roman"/>
          <w:b w:val="false"/>
          <w:i w:val="false"/>
          <w:color w:val="000000"/>
          <w:sz w:val="21"/>
        </w:rPr>
        <w:t>, IAB 9/20/23, effective 10/25/23]</w:t>
      </w:r>
    </w:p>
    <w:p>
      <w:pPr>
        <w:spacing w:before="0" w:after="0"/>
        <w:ind w:left="120"/>
        <w:jc w:val="center"/>
      </w:pPr>
      <w:r>
        <w:rPr>
          <w:rFonts w:ascii="Times New Roman" w:hAnsi="Times New Roman"/>
          <w:b w:val="false"/>
          <w:i w:val="false"/>
          <w:color w:val="000000"/>
          <w:sz w:val="21"/>
        </w:rPr>
        <w:t>[Filed ARC 9112C</w:t>
      </w:r>
      <w:r>
        <w:rPr>
          <w:rFonts w:ascii="Times New Roman" w:hAnsi="Times New Roman"/>
          <w:b w:val="false"/>
          <w:i w:val="false"/>
          <w:color w:val="000000"/>
          <w:sz w:val="21"/>
        </w:rPr>
        <w:t xml:space="preserve"> (Notice ARC 8699C,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B.pdf" Type="http://schemas.openxmlformats.org/officeDocument/2006/relationships/hyperlink" Id="rId5"/>
    <Relationship TargetMode="External" Target="https://www.legis.iowa.gov/docs/ico/chapter/148.2.pdf" Type="http://schemas.openxmlformats.org/officeDocument/2006/relationships/hyperlink" Id="rId6"/>
    <Relationship TargetMode="External" Target="https://www.legis.iowa.gov/docs/ico/chapter/147B.pdf" Type="http://schemas.openxmlformats.org/officeDocument/2006/relationships/hyperlink" Id="rId7"/>
    <Relationship TargetMode="External" Target="https://www.legis.iowa.gov/docs/iac/rule/653.652.2.pdf" Type="http://schemas.openxmlformats.org/officeDocument/2006/relationships/hyperlink" Id="rId8"/>
    <Relationship TargetMode="External" Target="https://www.legis.iowa.gov/docs/ico/chapter/148.1.pdf" Type="http://schemas.openxmlformats.org/officeDocument/2006/relationships/hyperlink" Id="rId9"/>
    <Relationship TargetMode="External" Target="https://www.legis.iowa.gov/docs/iac/rule/653.652.2.pdf" Type="http://schemas.openxmlformats.org/officeDocument/2006/relationships/hyperlink" Id="rId10"/>
    <Relationship TargetMode="External" Target="https://www.legis.iowa.gov/docs/ico/chapter/148.2.pdf" Type="http://schemas.openxmlformats.org/officeDocument/2006/relationships/hyperlink" Id="rId11"/>
    <Relationship TargetMode="External" Target="https://www.legis.iowa.gov/docs/iac/rule/481.652.1.pdf" Type="http://schemas.openxmlformats.org/officeDocument/2006/relationships/hyperlink" Id="rId12"/>
    <Relationship TargetMode="External" Target="https://www.legis.iowa.gov/docs/ico/chapter/148.2.pdf" Type="http://schemas.openxmlformats.org/officeDocument/2006/relationships/hyperlink" Id="rId13"/>
    <Relationship TargetMode="External" Target="https://www.legis.iowa.gov/docs/iac/rule/481.652.1.pdf" Type="http://schemas.openxmlformats.org/officeDocument/2006/relationships/hyperlink" Id="rId14"/>
    <Relationship TargetMode="External" Target="https://www.legis.iowa.gov/docs/ico/chapter/29C.6.pdf" Type="http://schemas.openxmlformats.org/officeDocument/2006/relationships/hyperlink" Id="rId15"/>
    <Relationship TargetMode="External" Target="https://www.legis.iowa.gov/docs/iac/rule/481.653.5.pdf" Type="http://schemas.openxmlformats.org/officeDocument/2006/relationships/hyperlink" Id="rId16"/>
    <Relationship TargetMode="External" Target="https://www.legis.iowa.gov/docs/iac/rule/481.652.1.pdf" Type="http://schemas.openxmlformats.org/officeDocument/2006/relationships/hyperlink" Id="rId17"/>
    <Relationship TargetMode="External" Target="https://www.legis.iowa.gov/docs/iac/rule/481.652.4.pdf" Type="http://schemas.openxmlformats.org/officeDocument/2006/relationships/hyperlink" Id="rId18"/>
    <Relationship TargetMode="External" Target="https://www.legis.iowa.gov/docs/iac/rule/653.652.3.pdf" Type="http://schemas.openxmlformats.org/officeDocument/2006/relationships/hyperlink" Id="rId19"/>
    <Relationship TargetMode="External" Target="https://www.legis.iowa.gov/docs/iac/rule/653.652.3.pdf" Type="http://schemas.openxmlformats.org/officeDocument/2006/relationships/hyperlink" Id="rId20"/>
    <Relationship TargetMode="External" Target="https://www.legis.iowa.gov/docs/iac/rule/653.652.3.pdf" Type="http://schemas.openxmlformats.org/officeDocument/2006/relationships/hyperlink" Id="rId21"/>
    <Relationship TargetMode="External" Target="https://www.legis.iowa.gov/docs/iac/rule/481.652.7.pdf" Type="http://schemas.openxmlformats.org/officeDocument/2006/relationships/hyperlink" Id="rId22"/>
    <Relationship TargetMode="External" Target="https://www.legis.iowa.gov/docs/iac/chapter/481.7.pdf" Type="http://schemas.openxmlformats.org/officeDocument/2006/relationships/hyperlink" Id="rId23"/>
    <Relationship TargetMode="External" Target="https://www.legis.iowa.gov/docs/iac/rule/481.651.4.pdf" Type="http://schemas.openxmlformats.org/officeDocument/2006/relationships/hyperlink" Id="rId24"/>
    <Relationship TargetMode="External" Target="https://www.legis.iowa.gov/docs/iac/rule/481.652.7.pdf" Type="http://schemas.openxmlformats.org/officeDocument/2006/relationships/hyperlink" Id="rId25"/>
    <Relationship TargetMode="External" Target="https://www.legis.iowa.gov/docs/iac/rule/481.652.7.pdf" Type="http://schemas.openxmlformats.org/officeDocument/2006/relationships/hyperlink" Id="rId26"/>
    <Relationship TargetMode="External" Target="https://www.legis.iowa.gov/docs/iac/rule/653.652.3.pdf" Type="http://schemas.openxmlformats.org/officeDocument/2006/relationships/hyperlink" Id="rId27"/>
    <Relationship TargetMode="External" Target="https://www.legis.iowa.gov/docs/iac/rule/481.651.4.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ac/rule/481.652.7.pdf" Type="http://schemas.openxmlformats.org/officeDocument/2006/relationships/hyperlink" Id="rId30"/>
    <Relationship TargetMode="External" Target="http://www.fsmb.org" Type="http://schemas.openxmlformats.org/officeDocument/2006/relationships/hyperlink" Id="rId31"/>
    <Relationship TargetMode="External" Target="https://www.legis.iowa.gov/docs/iac/rule/481.651.3.pdf" Type="http://schemas.openxmlformats.org/officeDocument/2006/relationships/hyperlink" Id="rId32"/>
    <Relationship TargetMode="External" Target="https://www.legis.iowa.gov/docs/iac/rule/653.652.3.pdf" Type="http://schemas.openxmlformats.org/officeDocument/2006/relationships/hyperlink" Id="rId33"/>
    <Relationship TargetMode="External" Target="https://www.legis.iowa.gov/docs/iac/rule/481.652.17.pdf" Type="http://schemas.openxmlformats.org/officeDocument/2006/relationships/hyperlink" Id="rId34"/>
    <Relationship TargetMode="External" Target="https://www.legis.iowa.gov/docs/iac/rule/481.651.4.pdf" Type="http://schemas.openxmlformats.org/officeDocument/2006/relationships/hyperlink" Id="rId35"/>
    <Relationship TargetMode="External" Target="https://www.legis.iowa.gov/docs/iac/rule/481.651.4.pdf" Type="http://schemas.openxmlformats.org/officeDocument/2006/relationships/hyperlink" Id="rId36"/>
    <Relationship TargetMode="External" Target="https://www.legis.iowa.gov/docs/iac/rule/481.651.4.pdf" Type="http://schemas.openxmlformats.org/officeDocument/2006/relationships/hyperlink" Id="rId37"/>
    <Relationship TargetMode="External" Target="https://www.legis.iowa.gov/docs/iac/chapter/481.654.pdf" Type="http://schemas.openxmlformats.org/officeDocument/2006/relationships/hyperlink" Id="rId38"/>
    <Relationship TargetMode="External" Target="https://www.legis.iowa.gov/docs/iac/rule/481.652.15.pdf" Type="http://schemas.openxmlformats.org/officeDocument/2006/relationships/hyperlink" Id="rId39"/>
    <Relationship TargetMode="External" Target="https://www.legis.iowa.gov/docs/ico/chapter/147.83.pdf" Type="http://schemas.openxmlformats.org/officeDocument/2006/relationships/hyperlink" Id="rId40"/>
    <Relationship TargetMode="External" Target="https://www.legis.iowa.gov/docs/ico/chapter/147.86.pdf" Type="http://schemas.openxmlformats.org/officeDocument/2006/relationships/hyperlink" Id="rId41"/>
    <Relationship TargetMode="External" Target="https://www.legis.iowa.gov/docs/iac/rule/481.651.4.pdf" Type="http://schemas.openxmlformats.org/officeDocument/2006/relationships/hyperlink" Id="rId42"/>
    <Relationship TargetMode="External" Target="https://www.legis.iowa.gov/docs/iac/rule/481.652.15.pdf" Type="http://schemas.openxmlformats.org/officeDocument/2006/relationships/hyperlink" Id="rId43"/>
    <Relationship TargetMode="External" Target="https://www.legis.iowa.gov/docs/iac/rule/481.652.3.pdf" Type="http://schemas.openxmlformats.org/officeDocument/2006/relationships/hyperlink" Id="rId44"/>
    <Relationship TargetMode="External" Target="https://www.legis.iowa.gov/docs/iac/rule/481.651.4.pdf" Type="http://schemas.openxmlformats.org/officeDocument/2006/relationships/hyperlink" Id="rId45"/>
    <Relationship TargetMode="External" Target="https://www.legis.iowa.gov/docs/iac/chapter/481.654.pdf" Type="http://schemas.openxmlformats.org/officeDocument/2006/relationships/hyperlink" Id="rId46"/>
    <Relationship TargetMode="External" Target="https://www.legis.iowa.gov/docs/iac/chapter/481.663.pdf" Type="http://schemas.openxmlformats.org/officeDocument/2006/relationships/hyperlink" Id="rId47"/>
    <Relationship TargetMode="External" Target="https://www.legis.iowa.gov/docs/ico/chapter/148.3.pdf" Type="http://schemas.openxmlformats.org/officeDocument/2006/relationships/hyperlink" Id="rId48"/>
    <Relationship TargetMode="External" Target="https://www.legis.iowa.gov/docs/ico/chapter/148.11.pdf" Type="http://schemas.openxmlformats.org/officeDocument/2006/relationships/hyperlink" Id="rId49"/>
    <Relationship TargetMode="External" Target="https://www.legis.iowa.gov/docs/iac/chapter/481.652.pdf" Type="http://schemas.openxmlformats.org/officeDocument/2006/relationships/hyperlink" Id="rId50"/>
    <Relationship TargetMode="External" Target="https://www.legis.iowa.gov/docs/iac/chapter/481.653.pdf" Type="http://schemas.openxmlformats.org/officeDocument/2006/relationships/hyperlink" Id="rId51"/>
    <Relationship TargetMode="External" Target="https://www.legis.iowa.gov/docs/ico/chapter/272C.9.pdf" Type="http://schemas.openxmlformats.org/officeDocument/2006/relationships/hyperlink" Id="rId52"/>
    <Relationship TargetMode="External" Target="https://www.legis.iowa.gov/docs/iac/rule/481.662.4.pdf" Type="http://schemas.openxmlformats.org/officeDocument/2006/relationships/hyperlink" Id="rId53"/>
    <Relationship TargetMode="External" Target="https://www.legis.iowa.gov/docs/ico/chapter/17A.10.pdf" Type="http://schemas.openxmlformats.org/officeDocument/2006/relationships/hyperlink" Id="rId54"/>
    <Relationship TargetMode="External" Target="https://www.legis.iowa.gov/docs/ico/chapter/272C.3.pdf" Type="http://schemas.openxmlformats.org/officeDocument/2006/relationships/hyperlink" Id="rId55"/>
    <Relationship TargetMode="External" Target="https://www.legis.iowa.gov/docs/iac/rule/481.506.35.pdf" Type="http://schemas.openxmlformats.org/officeDocument/2006/relationships/hyperlink" Id="rId56"/>
    <Relationship TargetMode="External" Target="https://www.legis.iowa.gov/docs/ico/chapter/17A.12.pdf" Type="http://schemas.openxmlformats.org/officeDocument/2006/relationships/hyperlink" Id="rId57"/>
    <Relationship TargetMode="External" Target="https://www.legis.iowa.gov/docs/iac/rule/481.506.5.pdf" Type="http://schemas.openxmlformats.org/officeDocument/2006/relationships/hyperlink" Id="rId58"/>
    <Relationship TargetMode="External" Target="https://www.legis.iowa.gov/docs/ico/chapter/17A.10.pdf" Type="http://schemas.openxmlformats.org/officeDocument/2006/relationships/hyperlink" Id="rId59"/>
    <Relationship TargetMode="External" Target="https://www.legis.iowa.gov/docs/ico/chapter/272C.3.pdf" Type="http://schemas.openxmlformats.org/officeDocument/2006/relationships/hyperlink" Id="rId60"/>
    <Relationship TargetMode="External" Target="https://www.legis.iowa.gov/docs/iac/rule/481.506.33.pdf" Type="http://schemas.openxmlformats.org/officeDocument/2006/relationships/hyperlink" Id="rId61"/>
    <Relationship TargetMode="External" Target="https://www.legis.iowa.gov/docs/ico/chapter/17A.12.pdf" Type="http://schemas.openxmlformats.org/officeDocument/2006/relationships/hyperlink" Id="rId62"/>
    <Relationship TargetMode="External" Target="https://www.legis.iowa.gov/docs/ico/chapter/272C.6.pdf" Type="http://schemas.openxmlformats.org/officeDocument/2006/relationships/hyperlink" Id="rId63"/>
    <Relationship TargetMode="External" Target="https://www.legis.iowa.gov/docs/iac/rule/481.506.25.pdf" Type="http://schemas.openxmlformats.org/officeDocument/2006/relationships/hyperlink" Id="rId64"/>
    <Relationship TargetMode="External" Target="https://www.legis.iowa.gov/docs/iac/rule/481.652.15.pdf" Type="http://schemas.openxmlformats.org/officeDocument/2006/relationships/hyperlink" Id="rId65"/>
    <Relationship TargetMode="External" Target="https://www.legis.iowa.gov/docs/iac/rule/481.652.16.pdf" Type="http://schemas.openxmlformats.org/officeDocument/2006/relationships/hyperlink" Id="rId66"/>
    <Relationship TargetMode="External" Target="https://www.legis.iowa.gov/docs/ico/chapter/148.3.pdf" Type="http://schemas.openxmlformats.org/officeDocument/2006/relationships/hyperlink" Id="rId67"/>
    <Relationship TargetMode="External" Target="https://www.legis.iowa.gov/docs/ico/chapter/148.3.pdf" Type="http://schemas.openxmlformats.org/officeDocument/2006/relationships/hyperlink" Id="rId68"/>
    <Relationship TargetMode="External" Target="https://www.legis.iowa.gov/docs/iac/rule/653.652.8.pdf" Type="http://schemas.openxmlformats.org/officeDocument/2006/relationships/hyperlink" Id="rId69"/>
    <Relationship TargetMode="External" Target="https://www.legis.iowa.gov/docs/iac/rule/653.652.15.pdf" Type="http://schemas.openxmlformats.org/officeDocument/2006/relationships/hyperlink" Id="rId70"/>
    <Relationship TargetMode="External" Target="https://www.legis.iowa.gov/docs/iac/chapter/481.651.pdf" Type="http://schemas.openxmlformats.org/officeDocument/2006/relationships/hyperlink" Id="rId71"/>
    <Relationship TargetMode="External" Target="https://www.legis.iowa.gov/docs/iac/chapter/481.652.pdf" Type="http://schemas.openxmlformats.org/officeDocument/2006/relationships/hyperlink" Id="rId72"/>
    <Relationship TargetMode="External" Target="https://www.legis.iowa.gov/docs/iac/rule/653.652.8.pdf" Type="http://schemas.openxmlformats.org/officeDocument/2006/relationships/hyperlink" Id="rId73"/>
    <Relationship TargetMode="External" Target="https://www.legis.iowa.gov/docs/iac/rule/653.652.15.pdf" Type="http://schemas.openxmlformats.org/officeDocument/2006/relationships/hyperlink" Id="rId74"/>
    <Relationship TargetMode="External" Target="https://www.legis.iowa.gov/docs/iac/rule/653.652.18.pdf" Type="http://schemas.openxmlformats.org/officeDocument/2006/relationships/hyperlink" Id="rId75"/>
    <Relationship TargetMode="External" Target="https://www.legis.iowa.gov/docs/iac/rule/481.652.7.pdf" Type="http://schemas.openxmlformats.org/officeDocument/2006/relationships/hyperlink" Id="rId76"/>
    <Relationship TargetMode="External" Target="http://www.imlcc.org" Type="http://schemas.openxmlformats.org/officeDocument/2006/relationships/hyperlink" Id="rId77"/>
    <Relationship TargetMode="External" Target="https://www.legis.iowa.gov/docs/iac/rule/481.652.22.pdf" Type="http://schemas.openxmlformats.org/officeDocument/2006/relationships/hyperlink" Id="rId78"/>
    <Relationship TargetMode="External" Target="http://www.imlcc.org" Type="http://schemas.openxmlformats.org/officeDocument/2006/relationships/hyperlink" Id="rId79"/>
    <Relationship TargetMode="External" Target="https://www.legis.iowa.gov/docs/iac/rule/481.651.3.pdf" Type="http://schemas.openxmlformats.org/officeDocument/2006/relationships/hyperlink" Id="rId80"/>
    <Relationship TargetMode="External" Target="https://www.legis.iowa.gov/docs/iac/chapter/481.654.pdf" Type="http://schemas.openxmlformats.org/officeDocument/2006/relationships/hyperlink" Id="rId81"/>
    <Relationship TargetMode="External" Target="http://www.imlcc.org" Type="http://schemas.openxmlformats.org/officeDocument/2006/relationships/hyperlink" Id="rId82"/>
    <Relationship TargetMode="External" Target="https://www.legis.iowa.gov/docs/iac/rule/653.652.21.pdf" Type="http://schemas.openxmlformats.org/officeDocument/2006/relationships/hyperlink" Id="rId83"/>
    <Relationship TargetMode="External" Target="https://www.legis.iowa.gov/docs/iac/chapter/481.654.pdf" Type="http://schemas.openxmlformats.org/officeDocument/2006/relationships/hyperlink" Id="rId84"/>
    <Relationship TargetMode="External" Target="https://www.legis.iowa.gov/docs/iac/rule/481.506.32.pdf" Type="http://schemas.openxmlformats.org/officeDocument/2006/relationships/hyperlink" Id="rId85"/>
    <Relationship TargetMode="External" Target="https://www.legis.iowa.gov/docs/ico/chapter/17A.19.pdf" Type="http://schemas.openxmlformats.org/officeDocument/2006/relationships/hyperlink" Id="rId86"/>
    <Relationship TargetMode="External" Target="https://www.legis.iowa.gov/docs/iac/rule/653.652.17.pdf" Type="http://schemas.openxmlformats.org/officeDocument/2006/relationships/hyperlink" Id="rId87"/>
    <Relationship TargetMode="External" Target="https://www.legis.iowa.gov/docs/iac/rule/653.652.17.pdf" Type="http://schemas.openxmlformats.org/officeDocument/2006/relationships/hyperlink" Id="rId88"/>
    <Relationship TargetMode="External" Target="https://www.legis.iowa.gov/docs/ico/chapter/17A.pdf" Type="http://schemas.openxmlformats.org/officeDocument/2006/relationships/hyperlink" Id="rId89"/>
    <Relationship TargetMode="External" Target="https://www.legis.iowa.gov/docs/ico/chapter/147.pdf" Type="http://schemas.openxmlformats.org/officeDocument/2006/relationships/hyperlink" Id="rId90"/>
    <Relationship TargetMode="External" Target="https://www.legis.iowa.gov/docs/ico/chapter/147B.pdf" Type="http://schemas.openxmlformats.org/officeDocument/2006/relationships/hyperlink" Id="rId91"/>
    <Relationship TargetMode="External" Target="https://www.legis.iowa.gov/docs/ico/chapter/148.pdf" Type="http://schemas.openxmlformats.org/officeDocument/2006/relationships/hyperlink" Id="rId92"/>
    <Relationship TargetMode="External" Target="https://www.legis.iowa.gov/docs/ico/chapter/272C.pdf" Type="http://schemas.openxmlformats.org/officeDocument/2006/relationships/hyperlink" Id="rId9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