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651</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5/30/01, see Medical Examiners Board[653] Ch 11]</w:t>
      </w:r>
    </w:p>
    <w:p>
      <w:pPr>
        <w:spacing w:before="0" w:after="0"/>
        <w:ind w:left="120"/>
        <w:jc w:val="center"/>
      </w:pPr>
      <w:r>
        <w:rPr>
          <w:rFonts w:ascii="Times New Roman" w:hAnsi="Times New Roman"/>
          <w:b w:val="false"/>
          <w:i w:val="false"/>
          <w:color w:val="000000"/>
          <w:sz w:val="14"/>
        </w:rPr>
        <w:t>[Prior to 6/11/25, see Medicine Board[653]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481—651.1</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transaction fee” </w:t>
      </w:r>
      <w:r>
        <w:rPr>
          <w:rFonts w:ascii="Times New Roman" w:hAnsi="Times New Roman"/>
          <w:b w:val="false"/>
          <w:i w:val="false"/>
          <w:color w:val="000000"/>
          <w:sz w:val="22"/>
        </w:rPr>
        <w:t>means a fee of $7 assessed by the board for completing an online purchase. The online transaction fee is in addition to the actual service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acupuncturists.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division of criminal investigation (DCI) and Federal Bureau of Investigation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reapplication of an acupuncture license,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an acupuncturist’s license or acupuncturist’s past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or past registration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or past registration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Interstate medical licensure compact (IMLC)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color w:val="000000"/>
          <w:sz w:val="22"/>
        </w:rPr>
        <w:t xml:space="preserve">Service fee for an application for an IMLC letter of qualification. </w:t>
      </w:r>
      <w:r>
        <w:rPr>
          <w:rFonts w:ascii="Times New Roman" w:hAnsi="Times New Roman"/>
          <w:b w:val="false"/>
          <w:i w:val="false"/>
          <w:color w:val="000000"/>
          <w:sz w:val="22"/>
        </w:rPr>
        <w:t>The service fee is paid directly to the interstate medical licensure compact commission. The interstate commission retains a portion of this service fee and remits a portion of this service fee to the board. The service fee paid to the interstate commission includes the $45 fee for the evaluation of the fingerprint packet and the criminal history background checks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an Iowa license issued through the IMLC. </w:t>
      </w:r>
      <w:r>
        <w:rPr>
          <w:rFonts w:ascii="Times New Roman" w:hAnsi="Times New Roman"/>
          <w:b w:val="false"/>
          <w:i w:val="false"/>
          <w:color w:val="000000"/>
          <w:sz w:val="22"/>
        </w:rPr>
        <w:t>The licensure fee is paid directly to the interstate medical licensure compact commission. An applicant shall pay a licensure fee of $450 plus a service fee retained by the interstate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renewal of active Iowa license issued through the IMLC. </w:t>
      </w:r>
      <w:r>
        <w:rPr>
          <w:rFonts w:ascii="Times New Roman" w:hAnsi="Times New Roman"/>
          <w:b w:val="false"/>
          <w:i w:val="false"/>
          <w:color w:val="000000"/>
          <w:sz w:val="22"/>
        </w:rPr>
        <w:t xml:space="preserve">The licensure fee is paid directly to the interstate medical licensure compact commission. The licensee shall pay the licensure fee described in subparagraph </w:t>
      </w:r>
      <w:hyperlink r:id="rId5">
        <w:r>
          <w:rPr>
            <w:rStyle w:val="Hyperlink"/>
            <w:rFonts w:ascii="Times New Roman" w:hAnsi="Times New Roman"/>
            <w:b w:val="false"/>
            <w:i w:val="false"/>
            <w:color w:val="000000"/>
            <w:sz w:val="22"/>
          </w:rPr>
          <w:t>651.4(1)</w:t>
        </w:r>
      </w:hyperlink>
      <w:r>
        <w:rPr>
          <w:rFonts w:ascii="Times New Roman" w:hAnsi="Times New Roman"/>
          <w:b w:val="false"/>
          <w:i/>
          <w:color w:val="000000"/>
          <w:sz w:val="22"/>
        </w:rPr>
        <w:t>“c”</w:t>
      </w:r>
      <w:r>
        <w:rPr>
          <w:rFonts w:ascii="Times New Roman" w:hAnsi="Times New Roman"/>
          <w:b w:val="false"/>
          <w:i w:val="false"/>
          <w:color w:val="000000"/>
          <w:sz w:val="22"/>
        </w:rPr>
        <w:t xml:space="preserve">(1) plus a service fee retained by the interstate commission. If the license is not renewed prior to expiration, the licensee will incur a penalty as described in paragraph </w:t>
      </w:r>
      <w:hyperlink r:id="rId6">
        <w:r>
          <w:rPr>
            <w:rStyle w:val="Hyperlink"/>
            <w:rFonts w:ascii="Times New Roman" w:hAnsi="Times New Roman"/>
            <w:b w:val="false"/>
            <w:i w:val="false"/>
            <w:color w:val="000000"/>
            <w:sz w:val="22"/>
          </w:rPr>
          <w:t>651.4(1)</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to practice medicine and surgery or osteopathic medicine and surgery or administrative medicine.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651.4(1)</w:t>
      </w:r>
      <w:r>
        <w:rPr>
          <w:rFonts w:ascii="Times New Roman" w:hAnsi="Times New Roman"/>
          <w:b w:val="false"/>
          <w:i w:val="false"/>
          <w:color w:val="000000"/>
          <w:sz w:val="22"/>
        </w:rPr>
        <w:t> </w:t>
      </w:r>
      <w:r>
        <w:rPr>
          <w:rFonts w:ascii="Times New Roman" w:hAnsi="Times New Roman"/>
          <w:b w:val="false"/>
          <w:i w:val="false"/>
          <w:color w:val="000000"/>
          <w:sz w:val="22"/>
        </w:rPr>
        <w:t>Fees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licensure, $450 plus the $45 fee for evaluation of the fingerprint packet and the criminal history background checks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$550 if renewal is made via paper application, or $450 if renewal is made via online application, per biennial period or a prorated portion thereof if the current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renewal fee if a physician was on active duty in the U.S. armed forces, reserves or national guard during the renewal period. “Active duty” 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$100 per calendar month after the expiration date of the license up to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a license on inactive status or allowing a license to become inactive,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one year or more after becoming inactive, $500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within one year of becoming inactive, $550 except when the license in the most recent license period had been granted for less than 24 months. In that case, the reinstatement fee is prorated according to the date of issuance and the physician’s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651.4(2)</w:t>
      </w:r>
      <w:r>
        <w:rPr>
          <w:rFonts w:ascii="Times New Roman" w:hAnsi="Times New Roman"/>
          <w:b w:val="false"/>
          <w:i w:val="false"/>
          <w:color w:val="000000"/>
          <w:sz w:val="22"/>
        </w:rPr>
        <w:t> </w:t>
      </w:r>
      <w:r>
        <w:rPr>
          <w:rFonts w:ascii="Times New Roman" w:hAnsi="Times New Roman"/>
          <w:b w:val="false"/>
          <w:i w:val="false"/>
          <w:color w:val="000000"/>
          <w:sz w:val="22"/>
        </w:rPr>
        <w:t>Fees for resident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resident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 resident physician license,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Late fee for extension of a resident physician license, $50, to be paid in addition to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651.4(3)</w:t>
      </w:r>
      <w:r>
        <w:rPr>
          <w:rFonts w:ascii="Times New Roman" w:hAnsi="Times New Roman"/>
          <w:b w:val="false"/>
          <w:i w:val="false"/>
          <w:color w:val="000000"/>
          <w:sz w:val="22"/>
        </w:rPr>
        <w:t> </w:t>
      </w:r>
      <w:r>
        <w:rPr>
          <w:rFonts w:ascii="Times New Roman" w:hAnsi="Times New Roman"/>
          <w:b w:val="false"/>
          <w:i w:val="false"/>
          <w:color w:val="000000"/>
          <w:sz w:val="22"/>
        </w:rPr>
        <w:t>Fees for special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special physician license, $300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special physician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651.4(4)</w:t>
      </w:r>
      <w:r>
        <w:rPr>
          <w:rFonts w:ascii="Times New Roman" w:hAnsi="Times New Roman"/>
          <w:b w:val="false"/>
          <w:i w:val="false"/>
          <w:color w:val="000000"/>
          <w:sz w:val="22"/>
        </w:rPr>
        <w:t> </w:t>
      </w:r>
      <w:r>
        <w:rPr>
          <w:rFonts w:ascii="Times New Roman" w:hAnsi="Times New Roman"/>
          <w:b w:val="false"/>
          <w:i w:val="false"/>
          <w:color w:val="000000"/>
          <w:sz w:val="22"/>
        </w:rPr>
        <w:t>Fees for temporary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temporary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temporary physician license,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651.4(5)</w:t>
      </w:r>
      <w:r>
        <w:rPr>
          <w:rFonts w:ascii="Times New Roman" w:hAnsi="Times New Roman"/>
          <w:b w:val="false"/>
          <w:i w:val="false"/>
          <w:color w:val="000000"/>
          <w:sz w:val="22"/>
        </w:rPr>
        <w:t> </w:t>
      </w:r>
      <w:r>
        <w:rPr>
          <w:rFonts w:ascii="Times New Roman" w:hAnsi="Times New Roman"/>
          <w:b w:val="false"/>
          <w:i w:val="false"/>
          <w:color w:val="000000"/>
          <w:sz w:val="22"/>
        </w:rPr>
        <w:t>Fee for photocopy of a licensure application,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651.4(6)</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Fees for verification of physician licensure and certification of examination scores.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w:t>
      </w:r>
      <w:r>
        <w:rPr>
          <w:rFonts w:ascii="Times New Roman" w:hAnsi="Times New Roman"/>
          <w:b w:val="false"/>
          <w:i w:val="false"/>
          <w:color w:val="000000"/>
          <w:sz w:val="22"/>
        </w:rPr>
        <w:t> </w:t>
      </w:r>
      <w:r>
        <w:rPr>
          <w:rFonts w:ascii="Times New Roman" w:hAnsi="Times New Roman"/>
          <w:b w:val="false"/>
          <w:i/>
          <w:color w:val="000000"/>
          <w:sz w:val="22"/>
        </w:rPr>
        <w:t xml:space="preserve">Verification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shall use VeriDoc to secure a certified statement that verifies Iowa licensure status for any state medical board that accepts VeriDoc. VeriDoc is accessible at </w:t>
      </w:r>
      <w:hyperlink r:id="rId7">
        <w:r>
          <w:rPr>
            <w:rStyle w:val="Hyperlink"/>
            <w:rFonts w:ascii="Times New Roman" w:hAnsi="Times New Roman"/>
            <w:b w:val="false"/>
            <w:i w:val="false"/>
            <w:color w:val="000000"/>
            <w:sz w:val="22"/>
            <w:u w:val="single"/>
          </w:rPr>
          <w:t>www.veridoc.org</w:t>
        </w:r>
      </w:hyperlink>
      <w:r>
        <w:rPr>
          <w:rFonts w:ascii="Times New Roman" w:hAnsi="Times New Roman"/>
          <w:b w:val="false"/>
          <w:i w:val="false"/>
          <w:color w:val="000000"/>
          <w:sz w:val="22"/>
        </w:rPr>
        <w:t xml:space="preserve">. The fee for this service is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needs a certified statement that verifies Iowa licensure status for a state medical board that does not accept verification from VeriDoc shall make a written request for a certified statement with payment of a $30 verification fee to the board of medicine. The board shall provide a certified statement that verifies Iowa licensure status to the nonaccepting state medical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verification of Iowa licensure status that does not require a certified statement or letter is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provides an  electronic verification service whereby users can input the licensee’s license number to learn the licensee’s current licensure status. There is no fee for this service. The board shall provide a license number for an individual caller to use in the automated telephone or electronic verification service. Businesses that utilize verifications will be required to utilize the automated telephone or electronic verification service or the alternative outlined in paragraph </w:t>
      </w:r>
      <w:hyperlink r:id="rId8">
        <w:r>
          <w:rPr>
            <w:rStyle w:val="Hyperlink"/>
            <w:rFonts w:ascii="Times New Roman" w:hAnsi="Times New Roman"/>
            <w:b w:val="false"/>
            <w:i w:val="false"/>
            <w:color w:val="000000"/>
            <w:sz w:val="22"/>
          </w:rPr>
          <w:t>651.5(1)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651.5(2)</w:t>
      </w:r>
      <w:r>
        <w:rPr>
          <w:rFonts w:ascii="Times New Roman" w:hAnsi="Times New Roman"/>
          <w:b w:val="false"/>
          <w:i w:val="false"/>
          <w:color w:val="000000"/>
          <w:sz w:val="22"/>
        </w:rPr>
        <w:t> </w:t>
      </w:r>
      <w:r>
        <w:rPr>
          <w:rFonts w:ascii="Times New Roman" w:hAnsi="Times New Roman"/>
          <w:b w:val="false"/>
          <w:i/>
          <w:color w:val="000000"/>
          <w:sz w:val="22"/>
        </w:rPr>
        <w:t xml:space="preserve">Fees for certification of physician examination scores. </w:t>
      </w:r>
      <w:r>
        <w:rPr>
          <w:rFonts w:ascii="Times New Roman" w:hAnsi="Times New Roman"/>
          <w:b w:val="false"/>
          <w:i w:val="false"/>
          <w:color w:val="000000"/>
          <w:sz w:val="22"/>
        </w:rPr>
        <w:t xml:space="preserve">Upon request and payment of the designated fee, the board may provide certification of scores of an examination given by the board in Iowa as permitted under Iowa Code section </w:t>
      </w:r>
      <w:hyperlink r:id="rId9">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653—paragraph 2.13(2)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scores available from the board are those from examinees who took the state-constructed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including examination history or additional documentation, $55.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Public records available at no cost. </w:t>
      </w:r>
      <w:r>
        <w:rPr>
          <w:rFonts w:ascii="Times New Roman" w:hAnsi="Times New Roman"/>
          <w:b w:val="false"/>
          <w:i w:val="false"/>
          <w:color w:val="000000"/>
          <w:sz w:val="22"/>
        </w:rPr>
        <w:t>The following records are available at no cost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action taken by the board against a licensee may be found under the licensee’s name on the board’s website under “Find A Physician.” Public actions are posted on the board’s website within approximately one week after the board has taken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files of press releases, statements of charges, final orders and consent agreements from each board meeting are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Purchase of public records. </w:t>
      </w:r>
      <w:r>
        <w:rPr>
          <w:rFonts w:ascii="Times New Roman" w:hAnsi="Times New Roman"/>
          <w:b w:val="false"/>
          <w:i w:val="false"/>
          <w:color w:val="000000"/>
          <w:sz w:val="22"/>
        </w:rPr>
        <w:t xml:space="preserve">Public records are available according to </w:t>
      </w:r>
      <w:hyperlink r:id="rId11">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Licensee data list. </w:t>
      </w:r>
      <w:r>
        <w:rPr>
          <w:rFonts w:ascii="Times New Roman" w:hAnsi="Times New Roman"/>
          <w:b w:val="false"/>
          <w:i w:val="false"/>
          <w:color w:val="000000"/>
          <w:sz w:val="22"/>
        </w:rPr>
        <w:t>A data list of all physicians and acupuncturists includes the following information about each licensee: full name, year of birth, work address and telephone number (or other contact information on file if licensee’s work address and telephone number are not available), Iowa county (if applicable), medical school (if applicable), year of graduation from medical school (if applicable), two medical specialties (if available), license issue date, license expiration date, license number, license type, license status, and an indicator of whether the board has taken any public action on the license. There is no fee for an electronic file of this list. A printed copy of the data list is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will charge a fee of $25 for a check returned for any reason. If a license had been issued by the board office based on a check that is later returned by the bank, the board shall request payment by certified check or money order. If the fees are not paid within two weeks of notification of the returned check by certified mail, the licensee shall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Electronic copies of laws and rules pertaining to the practice of medicine or acupuncture are available at </w:t>
      </w:r>
      <w:hyperlink r:id="rId12">
        <w:r>
          <w:rPr>
            <w:rStyle w:val="Hyperlink"/>
            <w:rFonts w:ascii="Times New Roman" w:hAnsi="Times New Roman"/>
            <w:b w:val="false"/>
            <w:i w:val="false"/>
            <w:color w:val="000000"/>
            <w:sz w:val="22"/>
            <w:u w:val="single"/>
          </w:rPr>
          <w:t>www.legis.iowa.gov</w:t>
        </w:r>
      </w:hyperlink>
      <w:r>
        <w:rPr>
          <w:rFonts w:ascii="Times New Roman" w:hAnsi="Times New Roman"/>
          <w:b w:val="false"/>
          <w:i w:val="false"/>
          <w:color w:val="000000"/>
          <w:sz w:val="22"/>
        </w:rPr>
        <w:t xml:space="preserve"> at no cost. Printed copies of these laws and rules are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481—651.10</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Refunds. </w:t>
      </w:r>
      <w:r>
        <w:rPr>
          <w:rFonts w:ascii="Times New Roman" w:hAnsi="Times New Roman"/>
          <w:b w:val="false"/>
          <w:i w:val="false"/>
          <w:color w:val="000000"/>
          <w:sz w:val="22"/>
        </w:rPr>
        <w:t>Application and licensure fees will be collected by the board and are not refundable except by board action in unusual instances.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Licensure and examination fees in this chapter are not subject to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481—651.12</w:t>
      </w:r>
      <w:r>
        <w:rPr>
          <w:rFonts w:ascii="Times New Roman" w:hAnsi="Times New Roman"/>
          <w:b/>
          <w:i w:val="false"/>
          <w:color w:val="000000"/>
          <w:sz w:val="22"/>
        </w:rPr>
        <w:t xml:space="preserve">(8,147,148,272C) </w:t>
      </w:r>
      <w:r>
        <w:rPr>
          <w:rFonts w:ascii="Times New Roman" w:hAnsi="Times New Roman"/>
          <w:b/>
          <w:i w:val="false"/>
          <w:color w:val="000000"/>
          <w:sz w:val="22"/>
        </w:rPr>
        <w:t xml:space="preserve">Monitoring fee. </w:t>
      </w:r>
      <w:r>
        <w:rPr>
          <w:rFonts w:ascii="Times New Roman" w:hAnsi="Times New Roman"/>
          <w:b w:val="false"/>
          <w:i w:val="false"/>
          <w:color w:val="000000"/>
          <w:sz w:val="22"/>
        </w:rPr>
        <w:t>The board may require payment of up to $300 per quarter to cover the board’s expenses to monitor a licensee’s compliance with a settlement agreement or final decision and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genetic counselors.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 genetic counselor’s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4/30/03—published 9/17/03, effective 9/1/03]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3464C</w:t>
      </w:r>
      <w:r>
        <w:rPr>
          <w:rFonts w:ascii="Times New Roman" w:hAnsi="Times New Roman"/>
          <w:b w:val="false"/>
          <w:i w:val="false"/>
          <w:color w:val="000000"/>
          <w:sz w:val="21"/>
        </w:rPr>
        <w:t xml:space="preserve"> (Notice ARC 3258C, IAB 8/16/17)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4246C</w:t>
      </w:r>
      <w:r>
        <w:rPr>
          <w:rFonts w:ascii="Times New Roman" w:hAnsi="Times New Roman"/>
          <w:b w:val="false"/>
          <w:i w:val="false"/>
          <w:color w:val="000000"/>
          <w:sz w:val="21"/>
        </w:rPr>
        <w:t xml:space="preserve"> (Notice ARC 4094C,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9111C</w:t>
      </w:r>
      <w:r>
        <w:rPr>
          <w:rFonts w:ascii="Times New Roman" w:hAnsi="Times New Roman"/>
          <w:b w:val="false"/>
          <w:i w:val="false"/>
          <w:color w:val="000000"/>
          <w:sz w:val="21"/>
        </w:rPr>
        <w:t xml:space="preserve"> (Notice ARC 8695C,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51.4.pdf" Type="http://schemas.openxmlformats.org/officeDocument/2006/relationships/hyperlink" Id="rId5"/>
    <Relationship TargetMode="External" Target="https://www.legis.iowa.gov/docs/iac/rule/653.651.4.pdf" Type="http://schemas.openxmlformats.org/officeDocument/2006/relationships/hyperlink" Id="rId6"/>
    <Relationship TargetMode="External" Target="http://www.veridoc.org" Type="http://schemas.openxmlformats.org/officeDocument/2006/relationships/hyperlink" Id="rId7"/>
    <Relationship TargetMode="External" Target="https://www.legis.iowa.gov/docs/iac/rule/653.651.5.pdf" Type="http://schemas.openxmlformats.org/officeDocument/2006/relationships/hyperlink" Id="rId8"/>
    <Relationship TargetMode="External" Target="https://www.legis.iowa.gov/docs/ico/chapter/147.21.pdf" Type="http://schemas.openxmlformats.org/officeDocument/2006/relationships/hyperlink" Id="rId9"/>
    <Relationship TargetMode="External" Target="https://www.legis.iowa.gov/docs/iac/rule/653.2.13.pdf" Type="http://schemas.openxmlformats.org/officeDocument/2006/relationships/hyperlink" Id="rId10"/>
    <Relationship TargetMode="External" Target="https://www.legis.iowa.gov/docs/iac/chapter/481.5.pdf" Type="http://schemas.openxmlformats.org/officeDocument/2006/relationships/hyperlink" Id="rId11"/>
    <Relationship TargetMode="External" Target="http://www.legis.iowa.gov" Type="http://schemas.openxmlformats.org/officeDocument/2006/relationships/hyperlink" Id="rId12"/>
    <Relationship TargetMode="External" Target="https://www.legis.iowa.gov/docs/ico/chapter/147.11.pdf" Type="http://schemas.openxmlformats.org/officeDocument/2006/relationships/hyperlink" Id="rId13"/>
    <Relationship TargetMode="External" Target="https://www.legis.iowa.gov/docs/ico/chapter/147.80.pdf" Type="http://schemas.openxmlformats.org/officeDocument/2006/relationships/hyperlink" Id="rId14"/>
    <Relationship TargetMode="External" Target="https://www.legis.iowa.gov/docs/ico/chapter/148.3.pdf" Type="http://schemas.openxmlformats.org/officeDocument/2006/relationships/hyperlink" Id="rId15"/>
    <Relationship TargetMode="External" Target="https://www.legis.iowa.gov/docs/ico/chapter/148.5.pdf" Type="http://schemas.openxmlformats.org/officeDocument/2006/relationships/hyperlink" Id="rId16"/>
    <Relationship TargetMode="External" Target="https://www.legis.iowa.gov/docs/ico/chapter/148.10.pdf" Type="http://schemas.openxmlformats.org/officeDocument/2006/relationships/hyperlink" Id="rId17"/>
    <Relationship TargetMode="External" Target="https://www.legis.iowa.gov/docs/ico/chapter/148.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