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65</w:t>
      </w:r>
    </w:p>
    <w:p>
      <w:pPr>
        <w:spacing w:before="0" w:after="0"/>
        <w:ind w:left="120"/>
        <w:jc w:val="center"/>
      </w:pPr>
      <w:r>
        <w:rPr>
          <w:rFonts w:ascii="Times New Roman" w:hAnsi="Times New Roman"/>
          <w:b w:val="false"/>
          <w:i w:val="false"/>
          <w:color w:val="000000"/>
          <w:sz w:val="21"/>
        </w:rPr>
        <w:t>INTERMEDIATE CARE FACILITIES</w:t>
      </w:r>
      <w:r>
        <w:br/>
      </w:r>
      <w:r>
        <w:rPr>
          <w:rFonts w:ascii="Times New Roman" w:hAnsi="Times New Roman"/>
          <w:b w:val="false"/>
          <w:i w:val="false"/>
          <w:color w:val="000000"/>
          <w:sz w:val="21"/>
        </w:rPr>
        <w:t>FOR PERSONS WITH MENTAL ILLNESS (ICF/PMI)</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481—65.1</w:t>
      </w:r>
      <w:r>
        <w:rPr>
          <w:rFonts w:ascii="Times New Roman" w:hAnsi="Times New Roman"/>
          <w:b/>
          <w:i w:val="false"/>
          <w:color w:val="000000"/>
          <w:sz w:val="22"/>
        </w:rPr>
        <w:t xml:space="preserve">(135C)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these rules, the following terms shall have the meaning indicated in this chapter. The definitions set out in Iowa Code section </w:t>
      </w:r>
      <w:hyperlink r:id="rId5">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shall be considered incorporated verbatim in the rules. The use of the words “shall” and “must” indicate these standards are mandatory.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“Academic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general information and skills which establish the basis for subsequent acquisition and application of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“Activity coordinator”</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completed the state-approved activity coordinator’s course.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appropriate”</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settings, and personal appearance and possessions commensurate with the person’s chronological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“Chronic mental illness”</w:t>
      </w:r>
      <w:r>
        <w:rPr>
          <w:rFonts w:ascii="Times New Roman" w:hAnsi="Times New Roman"/>
          <w:b w:val="false"/>
          <w:i w:val="false"/>
          <w:color w:val="000000"/>
          <w:sz w:val="22"/>
        </w:rPr>
        <w:t> </w:t>
      </w:r>
      <w:r>
        <w:rPr>
          <w:rFonts w:ascii="Times New Roman" w:hAnsi="Times New Roman"/>
          <w:b w:val="false"/>
          <w:i w:val="false"/>
          <w:color w:val="000000"/>
          <w:sz w:val="22"/>
        </w:rPr>
        <w:t>(see the definition of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mental health and disability services commission.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living training services”</w:t>
      </w:r>
      <w:r>
        <w:rPr>
          <w:rFonts w:ascii="Times New Roman" w:hAnsi="Times New Roman"/>
          <w:b w:val="false"/>
          <w:i w:val="false"/>
          <w:color w:val="000000"/>
          <w:sz w:val="22"/>
        </w:rPr>
        <w:t> </w:t>
      </w:r>
      <w:r>
        <w:rPr>
          <w:rFonts w:ascii="Times New Roman" w:hAnsi="Times New Roman"/>
          <w:b w:val="false"/>
          <w:i w:val="false"/>
          <w:color w:val="000000"/>
          <w:sz w:val="22"/>
        </w:rPr>
        <w:t>are those activities provided to assist a person to acquire or sustain the knowledge and skills essential to independent functioning to the person’s maximum potential in the physical and social environment. These services may focus on the following areas: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Independent living skills which include those skills necessary to sustain oneself in the physical environment and are essential to the management of one’s personal property and business. This includes self-advocacy skills.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Socialization skills which include self-awareness and self-control, social responsiveness, group participation, social amenities and interpersonal skills.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Communication skills which include expressive and receptive skills in verbal and nonverbal language, including reading and writing.</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Leisure time and recreational skills which include the skills necessary for a person to use leisure time in a manner which is satisfying and constructive to the person.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Parenting skills which include those skills necessary to meet the needs of the person’s child. This service is designed to assist the person with mental illness to acquire or sustain the skills necessary for parenting.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Iowa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 adult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is as defined in rule </w:t>
      </w:r>
      <w:hyperlink r:id="rId6">
        <w:r>
          <w:rPr>
            <w:rStyle w:val="Hyperlink"/>
            <w:rFonts w:ascii="Times New Roman" w:hAnsi="Times New Roman"/>
            <w:b w:val="false"/>
            <w:i w:val="false"/>
            <w:color w:val="000000"/>
            <w:sz w:val="22"/>
          </w:rPr>
          <w:t>481—52.1</w:t>
        </w:r>
      </w:hyperlink>
      <w:r>
        <w:rPr>
          <w:rFonts w:ascii="Times New Roman" w:hAnsi="Times New Roman"/>
          <w:b w:val="false"/>
          <w:i w:val="false"/>
          <w:color w:val="000000"/>
          <w:sz w:val="22"/>
        </w:rPr>
        <w:t>(235E).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“Diagnosis”</w:t>
      </w:r>
      <w:r>
        <w:rPr>
          <w:rFonts w:ascii="Times New Roman" w:hAnsi="Times New Roman"/>
          <w:b w:val="false"/>
          <w:i w:val="false"/>
          <w:color w:val="000000"/>
          <w:sz w:val="22"/>
        </w:rPr>
        <w:t> </w:t>
      </w:r>
      <w:r>
        <w:rPr>
          <w:rFonts w:ascii="Times New Roman" w:hAnsi="Times New Roman"/>
          <w:b w:val="false"/>
          <w:i w:val="false"/>
          <w:color w:val="000000"/>
          <w:sz w:val="22"/>
        </w:rPr>
        <w:t>means the investigation and analysis of the cause or nature of a person’s condition, situation or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care staff”</w:t>
      </w:r>
      <w:r>
        <w:rPr>
          <w:rFonts w:ascii="Times New Roman" w:hAnsi="Times New Roman"/>
          <w:b w:val="false"/>
          <w:i w:val="false"/>
          <w:color w:val="000000"/>
          <w:sz w:val="22"/>
        </w:rPr>
        <w:t> </w:t>
      </w:r>
      <w:r>
        <w:rPr>
          <w:rFonts w:ascii="Times New Roman" w:hAnsi="Times New Roman"/>
          <w:b w:val="false"/>
          <w:i w:val="false"/>
          <w:color w:val="000000"/>
          <w:sz w:val="22"/>
        </w:rPr>
        <w:t>means those staff persons who provide a homelike environment for the residents and assist or supervise the resident in meeting the goals in the resident’s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“Evaluation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identify a person’s current functioning level and those factors which are barriers to maintaining the current level or achieving a higher level of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“Exploitation”</w:t>
      </w:r>
      <w:r>
        <w:rPr>
          <w:rFonts w:ascii="Times New Roman" w:hAnsi="Times New Roman"/>
          <w:b w:val="false"/>
          <w:i w:val="false"/>
          <w:color w:val="000000"/>
          <w:sz w:val="22"/>
        </w:rPr>
        <w:t> </w:t>
      </w:r>
      <w:r>
        <w:rPr>
          <w:rFonts w:ascii="Times New Roman" w:hAnsi="Times New Roman"/>
          <w:b w:val="false"/>
          <w:i w:val="false"/>
          <w:color w:val="000000"/>
          <w:sz w:val="22"/>
        </w:rPr>
        <w:t>means the act or process of taking unfair advantage of a resident, or the resident’s physical or financial resources for one’s own personal or pecuniary profit by the use of undue influence, harassment, duress, deception, false representation or false pretenses.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“Goals”</w:t>
      </w:r>
      <w:r>
        <w:rPr>
          <w:rFonts w:ascii="Times New Roman" w:hAnsi="Times New Roman"/>
          <w:b w:val="false"/>
          <w:i w:val="false"/>
          <w:color w:val="000000"/>
          <w:sz w:val="22"/>
        </w:rPr>
        <w:t> </w:t>
      </w:r>
      <w:r>
        <w:rPr>
          <w:rFonts w:ascii="Times New Roman" w:hAnsi="Times New Roman"/>
          <w:b w:val="false"/>
          <w:i w:val="false"/>
          <w:color w:val="000000"/>
          <w:sz w:val="22"/>
        </w:rPr>
        <w:t>means general statements of attainable expected accomplishments to be achieved in meeting identified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“Incident”</w:t>
      </w:r>
      <w:r>
        <w:rPr>
          <w:rFonts w:ascii="Times New Roman" w:hAnsi="Times New Roman"/>
          <w:b w:val="false"/>
          <w:i w:val="false"/>
          <w:color w:val="000000"/>
          <w:sz w:val="22"/>
        </w:rPr>
        <w:t> </w:t>
      </w:r>
      <w:r>
        <w:rPr>
          <w:rFonts w:ascii="Times New Roman" w:hAnsi="Times New Roman"/>
          <w:b w:val="false"/>
          <w:i w:val="false"/>
          <w:color w:val="000000"/>
          <w:sz w:val="22"/>
        </w:rPr>
        <w:t>means all accidental, purposeful, or other occurrences within the facility or on the premises affecting residents, visitors, or employees whether there is apparent injury or where hidden injury may have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“Individual program plan (IPP)”</w:t>
      </w:r>
      <w:r>
        <w:rPr>
          <w:rFonts w:ascii="Times New Roman" w:hAnsi="Times New Roman"/>
          <w:b w:val="false"/>
          <w:i w:val="false"/>
          <w:color w:val="000000"/>
          <w:sz w:val="22"/>
        </w:rPr>
        <w:t> </w:t>
      </w:r>
      <w:r>
        <w:rPr>
          <w:rFonts w:ascii="Times New Roman" w:hAnsi="Times New Roman"/>
          <w:b w:val="false"/>
          <w:i w:val="false"/>
          <w:color w:val="000000"/>
          <w:sz w:val="22"/>
        </w:rPr>
        <w:t>means a written plan for the provision of services to the resident that is developed and implemented using an interdisciplinary process that is based on the resident’s functional status, strengths, and needs and that identifies service activities designed to enable a person to maintain or move toward independent functioning. The plan identifies a continuum of development and outlines progressive steps and anticipated outcomes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“Informed consent”</w:t>
      </w:r>
      <w:r>
        <w:rPr>
          <w:rFonts w:ascii="Times New Roman" w:hAnsi="Times New Roman"/>
          <w:b w:val="false"/>
          <w:i w:val="false"/>
          <w:color w:val="000000"/>
          <w:sz w:val="22"/>
        </w:rPr>
        <w:t> </w:t>
      </w:r>
      <w:r>
        <w:rPr>
          <w:rFonts w:ascii="Times New Roman" w:hAnsi="Times New Roman"/>
          <w:b w:val="false"/>
          <w:i w:val="false"/>
          <w:color w:val="000000"/>
          <w:sz w:val="22"/>
        </w:rPr>
        <w:t>means an agreement by a person, or by the person’s legally authorized representative, based upon an understanding of: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full explanation of the procedures to be followed including an identification of those that are and are not experimental;</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description of the attendant discomforts, risks, and benefits to be expected;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disclosure of appropriate alternative procedures that would be advantageous for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process”</w:t>
      </w:r>
      <w:r>
        <w:rPr>
          <w:rFonts w:ascii="Times New Roman" w:hAnsi="Times New Roman"/>
          <w:b w:val="false"/>
          <w:i w:val="false"/>
          <w:color w:val="000000"/>
          <w:sz w:val="22"/>
        </w:rPr>
        <w:t> </w:t>
      </w:r>
      <w:r>
        <w:rPr>
          <w:rFonts w:ascii="Times New Roman" w:hAnsi="Times New Roman"/>
          <w:b w:val="false"/>
          <w:i w:val="false"/>
          <w:color w:val="000000"/>
          <w:sz w:val="22"/>
        </w:rPr>
        <w:t>means an approach to assessment, individual program planning, and service implementation in which planning participants function as a team. Each participant utilizing the skills, competencies, insights and perspectives provided by the participant’s training and experience focuses on identifying the service needs of the resident and the resident’s family. The purpose of the process is for participants to review and discuss, face-to-face, all information and recommendations and to reach decisions as a team. Participants share all information and recommendations, and develop as a team, a single, integrated individual program plan to meet the resident’s needs and, when appropriate, the resident’s family’s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“Interdisciplinary team”</w:t>
      </w:r>
      <w:r>
        <w:rPr>
          <w:rFonts w:ascii="Times New Roman" w:hAnsi="Times New Roman"/>
          <w:b w:val="false"/>
          <w:i w:val="false"/>
          <w:color w:val="000000"/>
          <w:sz w:val="22"/>
        </w:rPr>
        <w:t> </w:t>
      </w:r>
      <w:r>
        <w:rPr>
          <w:rFonts w:ascii="Times New Roman" w:hAnsi="Times New Roman"/>
          <w:b w:val="false"/>
          <w:i w:val="false"/>
          <w:color w:val="000000"/>
          <w:sz w:val="22"/>
        </w:rPr>
        <w:t>means the group of persons who develop a single, integrated individual program plan to meet a resident’s needs for services. The interdisciplinary team consists of, at a minimum, the resident, the resident’s legal guardian, if applicable, the resident’s advocate, if desired by the resident, a referral agency representative, other appropriate staff members, the resident’s attending psychiatrist and QMHP, other providers of services, and other persons relevant to the resident’s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“Least restrictive environment”</w:t>
      </w:r>
      <w:r>
        <w:rPr>
          <w:rFonts w:ascii="Times New Roman" w:hAnsi="Times New Roman"/>
          <w:b w:val="false"/>
          <w:i w:val="false"/>
          <w:color w:val="000000"/>
          <w:sz w:val="22"/>
        </w:rPr>
        <w:t> </w:t>
      </w:r>
      <w:r>
        <w:rPr>
          <w:rFonts w:ascii="Times New Roman" w:hAnsi="Times New Roman"/>
          <w:b w:val="false"/>
          <w:i w:val="false"/>
          <w:color w:val="000000"/>
          <w:sz w:val="22"/>
        </w:rPr>
        <w:t>means the environment in which the interventions in the lives of people with mental illness can be carried out with a minimum of limitation, intrusion, disruption, and departure from commonly accepted patterns of living.</w:t>
      </w:r>
    </w:p>
    <w:p>
      <w:pPr>
        <w:spacing w:before="0" w:after="0"/>
        <w:ind w:left="120"/>
        <w:jc w:val="both"/>
      </w:pPr>
      <w:r>
        <w:rPr>
          <w:rFonts w:ascii="Times New Roman" w:hAnsi="Times New Roman"/>
          <w:b w:val="false"/>
          <w:i w:val="false"/>
          <w:color w:val="000000"/>
          <w:sz w:val="22"/>
        </w:rPr>
        <w:t>It is the environment which allows residents to participate, to the maximum extent possible, in everyday life and to have control over the decisions that affect them. It is an environment that provides needed supports which do not interfere with personal liberty and do not unduly interfere with a person’s access to the normal events of life.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the person in exercising constitutional and legislatively enacted rights.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“Level of functioning”</w:t>
      </w:r>
      <w:r>
        <w:rPr>
          <w:rFonts w:ascii="Times New Roman" w:hAnsi="Times New Roman"/>
          <w:b w:val="false"/>
          <w:i w:val="false"/>
          <w:color w:val="000000"/>
          <w:sz w:val="22"/>
        </w:rPr>
        <w:t> </w:t>
      </w:r>
      <w:r>
        <w:rPr>
          <w:rFonts w:ascii="Times New Roman" w:hAnsi="Times New Roman"/>
          <w:b w:val="false"/>
          <w:i w:val="false"/>
          <w:color w:val="000000"/>
          <w:sz w:val="22"/>
        </w:rPr>
        <w:t>means a person’s current physiological and psychological status and current academic, community living, self-care and vocational skills.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a device applied to a person’s limbs, head or body which restricts a person’s movement and includes, but is not limited to, leather straps, leather cuffs, camisoles or handcuffs.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humiliation, harassment, and threats of punishment or deprivation.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counselor”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certified or eligible for certification as a mental health counselor by the National Academy of Certified Clinical Mental Health Counselors.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health, mental retardation commission”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commission described in Iowa Code section </w:t>
      </w:r>
      <w:hyperlink r:id="rId7">
        <w:r>
          <w:rPr>
            <w:rStyle w:val="Hyperlink"/>
            <w:rFonts w:ascii="Times New Roman" w:hAnsi="Times New Roman"/>
            <w:b w:val="false"/>
            <w:i w:val="false"/>
            <w:color w:val="000000"/>
            <w:sz w:val="22"/>
          </w:rPr>
          <w:t>225C.5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“Mental illness”</w:t>
      </w:r>
      <w:r>
        <w:rPr>
          <w:rFonts w:ascii="Times New Roman" w:hAnsi="Times New Roman"/>
          <w:b w:val="false"/>
          <w:i w:val="false"/>
          <w:color w:val="000000"/>
          <w:sz w:val="22"/>
        </w:rPr>
        <w:t> </w:t>
      </w:r>
      <w:r>
        <w:rPr>
          <w:rFonts w:ascii="Times New Roman" w:hAnsi="Times New Roman"/>
          <w:b w:val="false"/>
          <w:i w:val="false"/>
          <w:color w:val="000000"/>
          <w:sz w:val="22"/>
        </w:rPr>
        <w:t>means a substantial disorder of thought or mood which significantly impairs judgment, behavior, or the capacity to recognize reality or the ability to cope with the ordinary demands of life. Mental illnesses include the organic and functional psychoses, neuroses, personality disorders, alcoholism and drug dependence, behavioral disorders and other disorders as defined by the current edition of “American Psychiatric Association Diagnostic and Statistical Manual of Mental Disorders.” Mental illness is chronic when it is of long duration or marked by frequent recurrences.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“Normalization”</w:t>
      </w:r>
      <w:r>
        <w:rPr>
          <w:rFonts w:ascii="Times New Roman" w:hAnsi="Times New Roman"/>
          <w:b w:val="false"/>
          <w:i w:val="false"/>
          <w:color w:val="000000"/>
          <w:sz w:val="22"/>
        </w:rPr>
        <w:t> </w:t>
      </w:r>
      <w:r>
        <w:rPr>
          <w:rFonts w:ascii="Times New Roman" w:hAnsi="Times New Roman"/>
          <w:b w:val="false"/>
          <w:i w:val="false"/>
          <w:color w:val="000000"/>
          <w:sz w:val="22"/>
        </w:rPr>
        <w:t>means helping persons, in accordance with their needs and preferences, to achieve a lifestyle that is consistent with the norms and patterns of general society in ways which incorporate the age-appropriate and least restrictive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“Objectives”</w:t>
      </w:r>
      <w:r>
        <w:rPr>
          <w:rFonts w:ascii="Times New Roman" w:hAnsi="Times New Roman"/>
          <w:b w:val="false"/>
          <w:i w:val="false"/>
          <w:color w:val="000000"/>
          <w:sz w:val="22"/>
        </w:rPr>
        <w:t> </w:t>
      </w:r>
      <w:r>
        <w:rPr>
          <w:rFonts w:ascii="Times New Roman" w:hAnsi="Times New Roman"/>
          <w:b w:val="false"/>
          <w:i w:val="false"/>
          <w:color w:val="000000"/>
          <w:sz w:val="22"/>
        </w:rPr>
        <w:t>means specific, time-limited, and measurable statements showing outcomes or accomplishments necessary to progress toward the goal.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corporal punishment and the use of restraints as punishment.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injury”</w:t>
      </w:r>
      <w:r>
        <w:rPr>
          <w:rFonts w:ascii="Times New Roman" w:hAnsi="Times New Roman"/>
          <w:b w:val="false"/>
          <w:i w:val="false"/>
          <w:color w:val="000000"/>
          <w:sz w:val="22"/>
        </w:rPr>
        <w:t> </w:t>
      </w:r>
      <w:r>
        <w:rPr>
          <w:rFonts w:ascii="Times New Roman" w:hAnsi="Times New Roman"/>
          <w:b w:val="false"/>
          <w:i w:val="false"/>
          <w:color w:val="000000"/>
          <w:sz w:val="22"/>
        </w:rPr>
        <w:t>means damage to any bodily tissue to the extent the tissue must undergo a healing process in order to be restored to a sound and healthy condition. It may also mean damage to the extent the bodily tissue cannot be restored to a sound and healthy condition, or results in the death of the resident whose bodily tissue sustained the damage.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or physiological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prevent, halt, control, relieve, or reverse symptoms or conditions which interfere with the physical or physiological functioning of the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a technique involving the use of one or more of a staff person’s arms, legs, hands or other body areas to restrict or control the movements of a resident. This does not include the use of mechanical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means a person who is currently licensed in Iowa to practice medicine and surgery, osteopathic medicine and surgery, or osteopathy.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“Primary care provider”</w:t>
      </w:r>
      <w:r>
        <w:rPr>
          <w:rFonts w:ascii="Times New Roman" w:hAnsi="Times New Roman"/>
          <w:b w:val="false"/>
          <w:i w:val="false"/>
          <w:color w:val="000000"/>
          <w:sz w:val="22"/>
        </w:rPr>
        <w:t> </w:t>
      </w:r>
      <w:r>
        <w:rPr>
          <w:rFonts w:ascii="Times New Roman" w:hAnsi="Times New Roman"/>
          <w:b w:val="false"/>
          <w:i w:val="false"/>
          <w:color w:val="000000"/>
          <w:sz w:val="22"/>
        </w:rPr>
        <w:t>means any of the following who provide primary care and meet certification standards: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physician who is a family or general practitioner or an internist.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 advanced registered nurse practitioner.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physician associate.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means a set of related resources and services directed to the accomplishment of a fixed set of goals and objectives for any of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Special target populations;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population of a specified geographic area(s);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specified purpose;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“Psychiatric nurse”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who meets the requirements of certified psychiatric-mental health nurse practitioner pursuant to </w:t>
      </w:r>
      <w:hyperlink r:id="rId8">
        <w:r>
          <w:rPr>
            <w:rStyle w:val="Hyperlink"/>
            <w:rFonts w:ascii="Times New Roman" w:hAnsi="Times New Roman"/>
            <w:b w:val="false"/>
            <w:i w:val="false"/>
            <w:color w:val="000000"/>
            <w:sz w:val="22"/>
          </w:rPr>
          <w:t>655—Chapter 7</w:t>
        </w:r>
      </w:hyperlink>
      <w:r>
        <w:rPr>
          <w:rFonts w:ascii="Times New Roman" w:hAnsi="Times New Roman"/>
          <w:b w:val="false"/>
          <w:i w:val="false"/>
          <w:color w:val="000000"/>
          <w:sz w:val="22"/>
        </w:rPr>
        <w:t>, Iowa Administrative Code,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“Psychiatrist”</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and surgery who is certified by the American Board of Psychiatry and Neurology or who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“Psychologist”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psychology in the state of Iowa, or is certified by the Iowa department of education as a school psychologist, or is eligible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“Psychotherapeutic treatment”</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in the identification or modification of beliefs, emotions, attitudes, or behaviors in order to maintain or improve the person’s functioning in response to the physical, emotional and social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mental health professional (QMHP)”</w:t>
      </w:r>
      <w:r>
        <w:rPr>
          <w:rFonts w:ascii="Times New Roman" w:hAnsi="Times New Roman"/>
          <w:b w:val="false"/>
          <w:i w:val="false"/>
          <w:color w:val="000000"/>
          <w:sz w:val="22"/>
        </w:rPr>
        <w:t> </w:t>
      </w:r>
      <w:r>
        <w:rPr>
          <w:rFonts w:ascii="Times New Roman" w:hAnsi="Times New Roman"/>
          <w:b w:val="false"/>
          <w:i w:val="false"/>
          <w:color w:val="000000"/>
          <w:sz w:val="22"/>
        </w:rPr>
        <w:t>means a person who:</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Holds at least a master’s degree in a mental health field, including but not limited to: psychology, counseling and guidance, nursing and social work; or is a doctor of medicine (M.D.) or a doctor of osteopathic medicine and surgery (D.O.) or a physician associate;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Holds a current Iowa license when required by the Iowa licensure law;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Has at least two years of postdegree experience, supervised by a mental health professional, in assessing mental problems and needs of individuals and in providing appropriate mental health services for those individuals. See rule </w:t>
      </w:r>
      <w:hyperlink r:id="rId9">
        <w:r>
          <w:rPr>
            <w:rStyle w:val="Hyperlink"/>
            <w:rFonts w:ascii="Times New Roman" w:hAnsi="Times New Roman"/>
            <w:b w:val="false"/>
            <w:i w:val="false"/>
            <w:color w:val="000000"/>
            <w:sz w:val="22"/>
          </w:rPr>
          <w:t>481—65.4</w:t>
        </w:r>
      </w:hyperlink>
      <w:r>
        <w:rPr>
          <w:rFonts w:ascii="Times New Roman" w:hAnsi="Times New Roman"/>
          <w:b w:val="false"/>
          <w:i w:val="false"/>
          <w:color w:val="000000"/>
          <w:sz w:val="22"/>
        </w:rPr>
        <w:t>(135C) for waiver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w:t>
      </w:r>
      <w:r>
        <w:rPr>
          <w:rFonts w:ascii="Times New Roman" w:hAnsi="Times New Roman"/>
          <w:b w:val="false"/>
          <w:i w:val="false"/>
          <w:color w:val="000000"/>
          <w:sz w:val="22"/>
        </w:rPr>
        <w:t> </w:t>
      </w:r>
      <w:r>
        <w:rPr>
          <w:rFonts w:ascii="Times New Roman" w:hAnsi="Times New Roman"/>
          <w:b w:val="false"/>
          <w:i w:val="false"/>
          <w:color w:val="000000"/>
          <w:sz w:val="22"/>
        </w:rPr>
        <w:t>means a person who has been admitted to the facility to receive care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“Seclusion”</w:t>
      </w:r>
      <w:r>
        <w:rPr>
          <w:rFonts w:ascii="Times New Roman" w:hAnsi="Times New Roman"/>
          <w:b w:val="false"/>
          <w:i w:val="false"/>
          <w:color w:val="000000"/>
          <w:sz w:val="22"/>
        </w:rPr>
        <w:t> </w:t>
      </w:r>
      <w:r>
        <w:rPr>
          <w:rFonts w:ascii="Times New Roman" w:hAnsi="Times New Roman"/>
          <w:b w:val="false"/>
          <w:i w:val="false"/>
          <w:color w:val="000000"/>
          <w:sz w:val="22"/>
        </w:rPr>
        <w:t>means the isolation of the resident in a locked room which cannot be opened by the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“Self-care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assist a person to acquire or sustain the knowledge, habits and skills essential to the daily needs of the person. The activities focus on personal hygiene, general health maintenance, mobility skills and other activities of daily living.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w:t>
      </w:r>
      <w:r>
        <w:rPr>
          <w:rFonts w:ascii="Times New Roman" w:hAnsi="Times New Roman"/>
          <w:b w:val="false"/>
          <w:i w:val="false"/>
          <w:color w:val="000000"/>
          <w:sz w:val="22"/>
        </w:rPr>
        <w:t> </w:t>
      </w:r>
      <w:r>
        <w:rPr>
          <w:rFonts w:ascii="Times New Roman" w:hAnsi="Times New Roman"/>
          <w:b w:val="false"/>
          <w:i w:val="false"/>
          <w:color w:val="000000"/>
          <w:sz w:val="22"/>
        </w:rPr>
        <w:t>means a set of interrelated activities provided to a resident pursuant to the IPP.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“Sexual abuse”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but is not limited to, the exposing of pubes to a resident, the exposure of a resident’s genitals, pubes, breasts or buttocks for sexual satisfaction, fondling or touching the inner thigh, groin, buttocks, anus or breast of a resident or the clothing covering these areas, sexually suggestive comments or remarks made to a resident, a genital to genital or rectal, or oral to genital or rectal contact, or the commission of a sexual offense under Iowa Code chapter </w:t>
      </w:r>
      <w:hyperlink r:id="rId10">
        <w:r>
          <w:rPr>
            <w:rStyle w:val="Hyperlink"/>
            <w:rFonts w:ascii="Times New Roman" w:hAnsi="Times New Roman"/>
            <w:b w:val="false"/>
            <w:i w:val="false"/>
            <w:color w:val="000000"/>
            <w:sz w:val="22"/>
          </w:rPr>
          <w:t>709</w:t>
        </w:r>
      </w:hyperlink>
      <w:r>
        <w:rPr>
          <w:rFonts w:ascii="Times New Roman" w:hAnsi="Times New Roman"/>
          <w:b w:val="false"/>
          <w:i w:val="false"/>
          <w:color w:val="000000"/>
          <w:sz w:val="22"/>
        </w:rPr>
        <w:t xml:space="preserve"> or Iowa Code section </w:t>
      </w:r>
      <w:hyperlink r:id="rId11">
        <w:r>
          <w:rPr>
            <w:rStyle w:val="Hyperlink"/>
            <w:rFonts w:ascii="Times New Roman" w:hAnsi="Times New Roman"/>
            <w:b w:val="false"/>
            <w:i w:val="false"/>
            <w:color w:val="000000"/>
            <w:sz w:val="22"/>
          </w:rPr>
          <w:t>726.2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“Social worker”</w:t>
      </w:r>
      <w:r>
        <w:rPr>
          <w:rFonts w:ascii="Times New Roman" w:hAnsi="Times New Roman"/>
          <w:b w:val="false"/>
          <w:i w:val="false"/>
          <w:color w:val="000000"/>
          <w:sz w:val="22"/>
        </w:rPr>
        <w:t> </w:t>
      </w:r>
      <w:r>
        <w:rPr>
          <w:rFonts w:ascii="Times New Roman" w:hAnsi="Times New Roman"/>
          <w:b w:val="false"/>
          <w:i w:val="false"/>
          <w:color w:val="000000"/>
          <w:sz w:val="22"/>
        </w:rPr>
        <w:t>means a person who is licensed to practice social work in the state of Iowa, or who is eligible for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“Support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provided to or on behalf of a person in the areas of personal care and assistance and property maintenance in order to allow a person to live in the least restrictive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“Transportation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assist a person to travel from one place to another to obtain services or carry out life’s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“Verbal abuse”</w:t>
      </w:r>
      <w:r>
        <w:rPr>
          <w:rFonts w:ascii="Times New Roman" w:hAnsi="Times New Roman"/>
          <w:b w:val="false"/>
          <w:i w:val="false"/>
          <w:color w:val="000000"/>
          <w:sz w:val="22"/>
        </w:rPr>
        <w:t> </w:t>
      </w:r>
      <w:r>
        <w:rPr>
          <w:rFonts w:ascii="Times New Roman" w:hAnsi="Times New Roman"/>
          <w:b w:val="false"/>
          <w:i w:val="false"/>
          <w:color w:val="000000"/>
          <w:sz w:val="22"/>
        </w:rPr>
        <w:t>means, but is not limited to, the use of derogatory terms or names, undue voice volume and rude comments, orders or responses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“Vocational training services”</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designed to familiarize a person with production or employment requirements and to maintain or develop the person’s ability to function in a work setting. This service includes programming which allows or promotes the development of skills, attitudes and personal attributes appropriate to the work setting.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“Work”</w:t>
      </w:r>
      <w:r>
        <w:rPr>
          <w:rFonts w:ascii="Times New Roman" w:hAnsi="Times New Roman"/>
          <w:b w:val="false"/>
          <w:i w:val="false"/>
          <w:color w:val="000000"/>
          <w:sz w:val="22"/>
        </w:rPr>
        <w:t> </w:t>
      </w:r>
      <w:r>
        <w:rPr>
          <w:rFonts w:ascii="Times New Roman" w:hAnsi="Times New Roman"/>
          <w:b w:val="false"/>
          <w:i w:val="false"/>
          <w:color w:val="000000"/>
          <w:sz w:val="22"/>
        </w:rPr>
        <w:t>means any activity during which a resident provides goods or services for wages.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“Written, in writing or recorded”</w:t>
      </w:r>
      <w:r>
        <w:rPr>
          <w:rFonts w:ascii="Times New Roman" w:hAnsi="Times New Roman"/>
          <w:b w:val="false"/>
          <w:i w:val="false"/>
          <w:color w:val="000000"/>
          <w:sz w:val="22"/>
        </w:rPr>
        <w:t> </w:t>
      </w:r>
      <w:r>
        <w:rPr>
          <w:rFonts w:ascii="Times New Roman" w:hAnsi="Times New Roman"/>
          <w:b w:val="false"/>
          <w:i w:val="false"/>
          <w:color w:val="000000"/>
          <w:sz w:val="22"/>
        </w:rPr>
        <w:t>means that an account or entry is made in a permanent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6974C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license. </w:t>
      </w:r>
      <w:r>
        <w:rPr>
          <w:rFonts w:ascii="Times New Roman" w:hAnsi="Times New Roman"/>
          <w:b w:val="false"/>
          <w:i w:val="false"/>
          <w:color w:val="000000"/>
          <w:sz w:val="22"/>
        </w:rPr>
        <w:t xml:space="preserve">In order to obtain an initial license for an ICF/PMI, the applicant must comply with the rules and standards contained in Iowa Code chapter </w:t>
      </w:r>
      <w:hyperlink r:id="rId12">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and the standards in </w:t>
      </w:r>
      <w:hyperlink r:id="rId13">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xml:space="preserve">. Waivers from 481—Chapter </w:t>
      </w:r>
      <w:hyperlink r:id="rId14">
        <w:r>
          <w:rPr>
            <w:rStyle w:val="Hyperlink"/>
            <w:rFonts w:ascii="Times New Roman" w:hAnsi="Times New Roman"/>
            <w:b w:val="false"/>
            <w:i w:val="false"/>
            <w:color w:val="000000"/>
            <w:sz w:val="22"/>
          </w:rPr>
          <w:t>61</w:t>
        </w:r>
      </w:hyperlink>
      <w:r>
        <w:rPr>
          <w:rFonts w:ascii="Times New Roman" w:hAnsi="Times New Roman"/>
          <w:b w:val="false"/>
          <w:i w:val="false"/>
          <w:color w:val="000000"/>
          <w:sz w:val="22"/>
        </w:rPr>
        <w:t xml:space="preserve"> regulations are allowed under rule </w:t>
      </w:r>
      <w:hyperlink r:id="rId15">
        <w:r>
          <w:rPr>
            <w:rStyle w:val="Hyperlink"/>
            <w:rFonts w:ascii="Times New Roman" w:hAnsi="Times New Roman"/>
            <w:b w:val="false"/>
            <w:i w:val="false"/>
            <w:color w:val="000000"/>
            <w:sz w:val="22"/>
          </w:rPr>
          <w:t>481—61.2</w:t>
        </w:r>
      </w:hyperlink>
      <w:r>
        <w:rPr>
          <w:rFonts w:ascii="Times New Roman" w:hAnsi="Times New Roman"/>
          <w:b w:val="false"/>
          <w:i w:val="false"/>
          <w:color w:val="000000"/>
          <w:sz w:val="22"/>
        </w:rPr>
        <w:t>(135C). An application must be submitted to the department which states the type and category of license for which the facility is applying.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w:t>
      </w:r>
      <w:r>
        <w:rPr>
          <w:rFonts w:ascii="Times New Roman" w:hAnsi="Times New Roman"/>
          <w:b w:val="false"/>
          <w:i w:val="false"/>
          <w:color w:val="000000"/>
          <w:sz w:val="22"/>
        </w:rPr>
        <w:t> </w:t>
      </w:r>
      <w:r>
        <w:rPr>
          <w:rFonts w:ascii="Times New Roman" w:hAnsi="Times New Roman"/>
          <w:b w:val="false"/>
          <w:i w:val="false"/>
          <w:color w:val="000000"/>
          <w:sz w:val="22"/>
        </w:rPr>
        <w:t>Each application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floor plan of each floor of the facility drawn on 8½- × 11-inch paper showing room areas in proportion, room dimensions, room numbers for all rooms, including bathroom,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photograph of the front and side elevation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statutory fee for an intermediate care facility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Evidence of a certificate signed by the state fire marshal or deputy state fire marshal as to compliance with fire safety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w:t>
      </w:r>
      <w:r>
        <w:rPr>
          <w:rFonts w:ascii="Times New Roman" w:hAnsi="Times New Roman"/>
          <w:b w:val="false"/>
          <w:i w:val="false"/>
          <w:color w:val="000000"/>
          <w:sz w:val="22"/>
        </w:rPr>
        <w:t> </w:t>
      </w:r>
      <w:r>
        <w:rPr>
          <w:rFonts w:ascii="Times New Roman" w:hAnsi="Times New Roman"/>
          <w:b w:val="false"/>
          <w:i w:val="false"/>
          <w:color w:val="000000"/>
          <w:sz w:val="22"/>
        </w:rPr>
        <w:t>A résumé of care with a narrative which includes the following information shall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purpose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target population and limitations on resident eligibility;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identification and description of the services the facility will provide. This shall include at least specific and measurable goals and objectives for each service available in the facility and a description of the resources needed to provide each service including staff, physical facilities and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description of the human service system available in the area, including, but not limited to, social, public health, visiting nurse, vocational training, employment services, sheltered living arrangements, and services of private agencies;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description of working relationships with the human service agencies when applicable which shall include at least how the facility will coordinate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of human services to facilitate continuity of care and coordination of services to residents;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agencies to identify unnecessary duplication of services and plan for development and coordination of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w:t>
      </w:r>
      <w:r>
        <w:rPr>
          <w:rFonts w:ascii="Times New Roman" w:hAnsi="Times New Roman"/>
          <w:b w:val="false"/>
          <w:i w:val="false"/>
          <w:color w:val="000000"/>
          <w:sz w:val="22"/>
        </w:rPr>
        <w:t> </w:t>
      </w:r>
      <w:r>
        <w:rPr>
          <w:rFonts w:ascii="Times New Roman" w:hAnsi="Times New Roman"/>
          <w:b w:val="false"/>
          <w:i w:val="false"/>
          <w:color w:val="000000"/>
          <w:sz w:val="22"/>
        </w:rPr>
        <w:t>In order to obtain a renewal or change of ownership license of the ICF/PMI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to the department the completed application form 30 days prior to annual license renewal or change of ownership date of the ICF/PMI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an ICF/PMI with the application for renewal or change of ownership;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 documentation of review of résumé of care pursuant to subrule </w:t>
      </w:r>
      <w:hyperlink r:id="rId16">
        <w:r>
          <w:rPr>
            <w:rStyle w:val="Hyperlink"/>
            <w:rFonts w:ascii="Times New Roman" w:hAnsi="Times New Roman"/>
            <w:b w:val="false"/>
            <w:i w:val="false"/>
            <w:color w:val="000000"/>
            <w:sz w:val="22"/>
          </w:rPr>
          <w:t>65.2(1)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and a copy of any revisions to the plan.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135C.7</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135C.9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481—65.3</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r>
        <w:rPr>
          <w:rFonts w:ascii="Times New Roman" w:hAnsi="Times New Roman"/>
          <w:b w:val="false"/>
          <w:i w:val="false"/>
          <w:color w:val="000000"/>
          <w:sz w:val="22"/>
        </w:rPr>
        <w:t>Separate licenses may be issued for distinct parts which are clearly identifiable parts of a health care facility, containing contiguous rooms in a separate wing or building or on a separate floor of the facility, which provide care and services of separate categories.</w:t>
      </w:r>
    </w:p>
    <w:p>
      <w:pPr>
        <w:spacing w:before="0" w:after="0"/>
        <w:ind w:left="120"/>
        <w:jc w:val="both"/>
      </w:pP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separate personal care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481—65.4</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when: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need for a waiver has been established consistent with the résumé of care or the resident’s individual program plan.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There is no danger to the health, safety, welfare or rights of any resident.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waiver will apply only to a specific intermediate care facility for the mentally ill.</w:t>
      </w:r>
    </w:p>
    <w:p>
      <w:pPr>
        <w:spacing w:before="0" w:after="0"/>
        <w:ind w:left="120"/>
        <w:jc w:val="both"/>
      </w:pPr>
      <w:r>
        <w:rPr>
          <w:rFonts w:ascii="Times New Roman" w:hAnsi="Times New Roman"/>
          <w:b w:val="false"/>
          <w:i w:val="false"/>
          <w:color w:val="000000"/>
          <w:sz w:val="22"/>
        </w:rPr>
        <w:t>Waivers shall be reviewed at least at the time of each licensure survey and any other time by the department to see if the need for the waiver is still acceptable.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how the waiver is consistent with the résumé of care or the individual program plan;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welfare or rights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waiver, the director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Evaluate the requested waiver against the requirement of the rule to determine whether the request is necessary to meet the needs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to obtain additional written information if required;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Obtain approval of the Iowa mental health and disability services commission, when the request is for a waiver from the requirement for qualification of a mental health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65.4(3)</w:t>
      </w:r>
      <w:r>
        <w:rPr>
          <w:rFonts w:ascii="Times New Roman" w:hAnsi="Times New Roman"/>
          <w:b w:val="false"/>
          <w:i w:val="false"/>
          <w:color w:val="000000"/>
          <w:sz w:val="22"/>
        </w:rPr>
        <w:t> </w:t>
      </w:r>
      <w:r>
        <w:rPr>
          <w:rFonts w:ascii="Times New Roman" w:hAnsi="Times New Roman"/>
          <w:b w:val="false"/>
          <w:i w:val="false"/>
          <w:color w:val="000000"/>
          <w:sz w:val="22"/>
        </w:rPr>
        <w:t>Based upon this information,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0766C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481—65.5</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65.5(1)</w:t>
      </w:r>
      <w:r>
        <w:rPr>
          <w:rFonts w:ascii="Times New Roman" w:hAnsi="Times New Roman"/>
          <w:b w:val="false"/>
          <w:i w:val="false"/>
          <w:color w:val="000000"/>
          <w:sz w:val="22"/>
        </w:rPr>
        <w:t> </w:t>
      </w:r>
      <w:r>
        <w:rPr>
          <w:rFonts w:ascii="Times New Roman" w:hAnsi="Times New Roman"/>
          <w:b w:val="false"/>
          <w:i w:val="false"/>
          <w:color w:val="000000"/>
          <w:sz w:val="22"/>
        </w:rPr>
        <w:t>A valid license shall be posted in each facility so the public can easily see it.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65.5(2)</w:t>
      </w:r>
      <w:r>
        <w:rPr>
          <w:rFonts w:ascii="Times New Roman" w:hAnsi="Times New Roman"/>
          <w:b w:val="false"/>
          <w:i w:val="false"/>
          <w:color w:val="000000"/>
          <w:sz w:val="22"/>
        </w:rPr>
        <w:t> </w:t>
      </w:r>
      <w:r>
        <w:rPr>
          <w:rFonts w:ascii="Times New Roman" w:hAnsi="Times New Roman"/>
          <w:b w:val="false"/>
          <w:i w:val="false"/>
          <w:color w:val="000000"/>
          <w:sz w:val="22"/>
        </w:rPr>
        <w:t>Each license is valid only for the premises and person named on the license and is not transferable.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65.5(4)</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65.5(5)</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65.5(6)</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beds erected than are stipulated on the license. (II,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135C.8</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481—65.6</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 required by the department. </w:t>
      </w:r>
      <w:r>
        <w:rPr>
          <w:rFonts w:ascii="Times New Roman" w:hAnsi="Times New Roman"/>
          <w:b w:val="false"/>
          <w:i w:val="false"/>
          <w:color w:val="000000"/>
          <w:sz w:val="22"/>
        </w:rPr>
        <w:t>The department shall be notified within 48 hours, by letter, of any reduction or loss of personal care or dietary staff lasting more than seven days which places the staff ratio below that required for licensing. No additional residents shall be admitted until the minimum staff requirements are achieved.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65.6(1)</w:t>
      </w:r>
      <w:r>
        <w:rPr>
          <w:rFonts w:ascii="Times New Roman" w:hAnsi="Times New Roman"/>
          <w:b w:val="false"/>
          <w:i w:val="false"/>
          <w:color w:val="000000"/>
          <w:sz w:val="22"/>
        </w:rPr>
        <w:t> </w:t>
      </w:r>
      <w:r>
        <w:rPr>
          <w:rFonts w:ascii="Times New Roman" w:hAnsi="Times New Roman"/>
          <w:b w:val="false"/>
          <w:i w:val="false"/>
          <w:color w:val="000000"/>
          <w:sz w:val="22"/>
        </w:rPr>
        <w:t>Other required notification and time periods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of any proposed change in the résumé of care for the ICF/PMI;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ICF/PMI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Thirty days before the ICF/PMI closes;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of administrator;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Within 30 days 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65.6(2)</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an ICF/PMI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pending sale, transfer, assignment, or lease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in writing of the name and address of the prospective purchaser, transferee, assignee or lessee at least 30 days before the sale, transfer, assignment or lease is completed;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written authorization to the department permitting the department to release information of whatever kind from the department’s files concerning the licensee’s ICF/PMI to the named prospective purchaser, transferee, assignee or lessee.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65.6(3)</w:t>
      </w:r>
      <w:r>
        <w:rPr>
          <w:rFonts w:ascii="Times New Roman" w:hAnsi="Times New Roman"/>
          <w:b w:val="false"/>
          <w:i w:val="false"/>
          <w:color w:val="000000"/>
          <w:sz w:val="22"/>
        </w:rPr>
        <w:t> </w:t>
      </w:r>
      <w:r>
        <w:rPr>
          <w:rFonts w:ascii="Times New Roman" w:hAnsi="Times New Roman"/>
          <w:b w:val="false"/>
          <w:i w:val="false"/>
          <w:color w:val="000000"/>
          <w:sz w:val="22"/>
        </w:rPr>
        <w:t>After the authorization has been submitted to the department, the department shall upon request send or give copies of all recent licensure surveys and any other pertinent information relating to the facility’s licensure status to the prospective purchaser, transferee, assignee or lessee. Costs for copies requested shall be paid by the prospective purchaser, transferee, assignee or lessee. No information personally identifying any resident shall be provided to the prospective purchaser, transferee, assignee or lessee.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1">
        <w:r>
          <w:rPr>
            <w:rStyle w:val="Hyperlink"/>
            <w:rFonts w:ascii="Times New Roman" w:hAnsi="Times New Roman"/>
            <w:b w:val="false"/>
            <w:i w:val="false"/>
            <w:color w:val="000000"/>
            <w:sz w:val="22"/>
          </w:rPr>
          <w:t>135C.6(3)</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135C.16(2)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481—65.7</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Administrator. </w:t>
      </w:r>
      <w:r>
        <w:rPr>
          <w:rFonts w:ascii="Times New Roman" w:hAnsi="Times New Roman"/>
          <w:b w:val="false"/>
          <w:i w:val="false"/>
          <w:color w:val="000000"/>
          <w:sz w:val="22"/>
        </w:rPr>
        <w:t>Each ICF/PMI shall have one person in charge, duly approved by the department or acting in a provisional capacity in accordance with these regulations.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65.7(1)</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at least 21 years of age and shall meet at least one of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licensed in Iowa as a nursing home administrator, or certified as a residential care administrator. No residential care facility administrator certified under a waiver from the department shall administrate an intermediate care facility for persons with mental illness. The administrator must have at least two years’ experience in direct care or supervision of people with mental illness and at least one year of experience in an administrative capacity; (II, III)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a qualified mental health professional (QMHP) with at least one year of experience in an administrative capacity. (II, III)</w:t>
      </w:r>
    </w:p>
    <w:p>
      <w:pPr>
        <w:spacing w:before="0" w:after="0"/>
        <w:ind w:left="120"/>
        <w:jc w:val="both"/>
      </w:pPr>
      <w:r>
        <w:rPr>
          <w:rFonts w:ascii="Times New Roman" w:hAnsi="Times New Roman"/>
          <w:b w:val="false"/>
          <w:i w:val="false"/>
          <w:color w:val="000000"/>
          <w:sz w:val="22"/>
        </w:rPr>
        <w:t xml:space="preserve">If an ICF/PMI is a distinct part of a licensed health care facility, the administrator of the facility as a whole may serve as the administrator of the ICF/PMI without meeting the requirements of subrule </w:t>
      </w:r>
      <w:hyperlink r:id="rId23">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“b.”</w:t>
      </w:r>
      <w:r>
        <w:rPr>
          <w:rFonts w:ascii="Times New Roman" w:hAnsi="Times New Roman"/>
          <w:b w:val="false"/>
          <w:i w:val="false"/>
          <w:color w:val="000000"/>
          <w:sz w:val="22"/>
        </w:rPr>
        <w:t xml:space="preserve"> When this occurs, the person in charge of the ICF/PMI distinct part shall meet the requirements of subrule </w:t>
      </w:r>
      <w:hyperlink r:id="rId24">
        <w:r>
          <w:rPr>
            <w:rStyle w:val="Hyperlink"/>
            <w:rFonts w:ascii="Times New Roman" w:hAnsi="Times New Roman"/>
            <w:b w:val="false"/>
            <w:i w:val="false"/>
            <w:color w:val="000000"/>
            <w:sz w:val="22"/>
          </w:rPr>
          <w:t>65.7(1)</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“a”</w:t>
      </w:r>
      <w:r>
        <w:rPr>
          <w:rFonts w:ascii="Times New Roman" w:hAnsi="Times New Roman"/>
          <w:b w:val="false"/>
          <w:i w:val="false"/>
          <w:color w:val="000000"/>
          <w:sz w:val="22"/>
        </w:rPr>
        <w:t xml:space="preserve"> or </w:t>
      </w:r>
      <w:r>
        <w:rPr>
          <w:rFonts w:ascii="Times New Roman" w:hAnsi="Times New Roman"/>
          <w:b w:val="false"/>
          <w:i/>
          <w:color w:val="000000"/>
          <w:sz w:val="22"/>
        </w:rPr>
        <w:t xml:space="preserve">“b.” </w:t>
      </w:r>
      <w:r>
        <w:rPr>
          <w:rFonts w:ascii="Times New Roman" w:hAnsi="Times New Roman"/>
          <w:b w:val="false"/>
          <w:i w:val="false"/>
          <w:color w:val="000000"/>
          <w:sz w:val="22"/>
        </w:rPr>
        <w:t>(II,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65.7(2)</w:t>
      </w:r>
      <w:r>
        <w:rPr>
          <w:rFonts w:ascii="Times New Roman" w:hAnsi="Times New Roman"/>
          <w:b w:val="false"/>
          <w:i w:val="false"/>
          <w:color w:val="000000"/>
          <w:sz w:val="22"/>
        </w:rPr>
        <w:t> </w:t>
      </w:r>
      <w:r>
        <w:rPr>
          <w:rFonts w:ascii="Times New Roman" w:hAnsi="Times New Roman"/>
          <w:b w:val="false"/>
          <w:i w:val="false"/>
          <w:color w:val="000000"/>
          <w:sz w:val="22"/>
        </w:rPr>
        <w:t>The administrator of more than one facility shall be responsible for no more than 150 beds in total.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distance between the two farthest facilities shall be no greater than 50 miles.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administrator of more than one facility must designate an administrative staff person in each facility who shall be responsible for directing programs in the facility during the administrator’s absence.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65.7(3)</w:t>
      </w:r>
      <w:r>
        <w:rPr>
          <w:rFonts w:ascii="Times New Roman" w:hAnsi="Times New Roman"/>
          <w:b w:val="false"/>
          <w:i w:val="false"/>
          <w:color w:val="000000"/>
          <w:sz w:val="22"/>
        </w:rPr>
        <w:t> </w:t>
      </w:r>
      <w:r>
        <w:rPr>
          <w:rFonts w:ascii="Times New Roman" w:hAnsi="Times New Roman"/>
          <w:b w:val="false"/>
          <w:i w:val="false"/>
          <w:color w:val="000000"/>
          <w:sz w:val="22"/>
        </w:rPr>
        <w:t>The administrative staff person shall be designated in writing and immediately available to the facility on a 24-hour basis when the administrator is absent and residents are in the facility. (II, III)</w:t>
      </w:r>
    </w:p>
    <w:p>
      <w:pPr>
        <w:spacing w:before="0" w:after="0"/>
        <w:ind w:left="120"/>
        <w:jc w:val="both"/>
      </w:pPr>
      <w:r>
        <w:rPr>
          <w:rFonts w:ascii="Times New Roman" w:hAnsi="Times New Roman"/>
          <w:b w:val="false"/>
          <w:i w:val="false"/>
          <w:color w:val="000000"/>
          <w:sz w:val="22"/>
        </w:rPr>
        <w:t>The person(s) designated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at least two years’ experience or training in a supervisory or direct care position in a mental health setting;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knowledgeable of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access to records concerned with the operation of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capable of carrying out administrative duties and of assuming administrative responsibilities;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at least 21 years of age;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empowered to act on behalf of the licensee during the administrator’s absence concerning the health, safety and welfare of the residents;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Have training to carry out assignments and take care of emergencies and sudden illnesses of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65.7(4)</w:t>
      </w:r>
      <w:r>
        <w:rPr>
          <w:rFonts w:ascii="Times New Roman" w:hAnsi="Times New Roman"/>
          <w:b w:val="false"/>
          <w:i w:val="false"/>
          <w:color w:val="000000"/>
          <w:sz w:val="22"/>
        </w:rPr>
        <w:t> </w:t>
      </w:r>
      <w:r>
        <w:rPr>
          <w:rFonts w:ascii="Times New Roman" w:hAnsi="Times New Roman"/>
          <w:b w:val="false"/>
          <w:i w:val="false"/>
          <w:color w:val="000000"/>
          <w:sz w:val="22"/>
        </w:rPr>
        <w:t>If an administrator serves more than one facility, a written plan shall be developed, implemented and available for review by the department designating regular and specific times the administrator will be available to meet with the staff and residents to provide direction and supervision of resident care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65.7(5)</w:t>
      </w:r>
      <w:r>
        <w:rPr>
          <w:rFonts w:ascii="Times New Roman" w:hAnsi="Times New Roman"/>
          <w:b w:val="false"/>
          <w:i w:val="false"/>
          <w:color w:val="000000"/>
          <w:sz w:val="22"/>
        </w:rPr>
        <w:t> </w:t>
      </w:r>
      <w:r>
        <w:rPr>
          <w:rFonts w:ascii="Times New Roman" w:hAnsi="Times New Roman"/>
          <w:b w:val="false"/>
          <w:i w:val="false"/>
          <w:color w:val="000000"/>
          <w:sz w:val="22"/>
        </w:rPr>
        <w:t>When a facility has been unable to replace the administrator, through no fault of its own, a provisional administrator meeting the qualifications of the administrative staff person may be appointed on a temporary basis by the licensee to assume the administrative responsibilities for the facility. This person shall not serve more than three months without approval from the department. The department must be notified before the appointment of the provisional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65.7(6)</w:t>
      </w:r>
      <w:r>
        <w:rPr>
          <w:rFonts w:ascii="Times New Roman" w:hAnsi="Times New Roman"/>
          <w:b w:val="false"/>
          <w:i w:val="false"/>
          <w:color w:val="000000"/>
          <w:sz w:val="22"/>
        </w:rPr>
        <w:t> </w:t>
      </w:r>
      <w:r>
        <w:rPr>
          <w:rFonts w:ascii="Times New Roman" w:hAnsi="Times New Roman"/>
          <w:b w:val="false"/>
          <w:i w:val="false"/>
          <w:color w:val="000000"/>
          <w:sz w:val="22"/>
        </w:rPr>
        <w:t>A facility applying for initial licensing shall not have a provisional administrator.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135C.14(2)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481—65.8</w:t>
      </w:r>
      <w:r>
        <w:rPr>
          <w:rFonts w:ascii="Times New Roman" w:hAnsi="Times New Roman"/>
          <w:b/>
          <w:i w:val="false"/>
          <w:color w:val="000000"/>
          <w:sz w:val="22"/>
        </w:rPr>
        <w:t xml:space="preserve">(135C) </w:t>
      </w:r>
      <w:r>
        <w:rPr>
          <w:rFonts w:ascii="Times New Roman" w:hAnsi="Times New Roman"/>
          <w:b/>
          <w:i w:val="false"/>
          <w:color w:val="000000"/>
          <w:sz w:val="22"/>
        </w:rPr>
        <w:t xml:space="preserve">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65.8(1)</w:t>
      </w:r>
      <w:r>
        <w:rPr>
          <w:rFonts w:ascii="Times New Roman" w:hAnsi="Times New Roman"/>
          <w:b w:val="false"/>
          <w:i w:val="false"/>
          <w:color w:val="000000"/>
          <w:sz w:val="22"/>
        </w:rPr>
        <w:t> </w:t>
      </w:r>
      <w:r>
        <w:rPr>
          <w:rFonts w:ascii="Times New Roman" w:hAnsi="Times New Roman"/>
          <w:b w:val="false"/>
          <w:i w:val="false"/>
          <w:color w:val="000000"/>
          <w:sz w:val="22"/>
        </w:rPr>
        <w:t>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responsible for the overall operation of the ICF/PMI;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responsible for compliance with all applicable laws and with the rules of the department;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written policies, which shall be available for review by the department or other agencies designated by Iowa Code section </w:t>
      </w:r>
      <w:hyperlink r:id="rId26">
        <w:r>
          <w:rPr>
            <w:rStyle w:val="Hyperlink"/>
            <w:rFonts w:ascii="Times New Roman" w:hAnsi="Times New Roman"/>
            <w:b w:val="false"/>
            <w:i w:val="false"/>
            <w:color w:val="000000"/>
            <w:sz w:val="22"/>
          </w:rPr>
          <w:t>135C.16(3)</w:t>
        </w:r>
      </w:hyperlink>
      <w:r>
        <w:rPr>
          <w:rFonts w:ascii="Times New Roman" w:hAnsi="Times New Roman"/>
          <w:b w:val="false"/>
          <w:i w:val="false"/>
          <w:color w:val="000000"/>
          <w:sz w:val="22"/>
        </w:rPr>
        <w:t>, for the operation of the ICF/PMI including, but not limited to: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Personnel;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Admission;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Evaluation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Programming and individual program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Crisis intervention;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management;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Resident property;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Financial affairs;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Records;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Health and safety;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Nutrition;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Physical facilities and maintenance;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Resident rights;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Furnish statistical information concerning the operation of the facility to the department within 30 days of request.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65.8(2)</w:t>
      </w:r>
      <w:r>
        <w:rPr>
          <w:rFonts w:ascii="Times New Roman" w:hAnsi="Times New Roman"/>
          <w:b w:val="false"/>
          <w:i w:val="false"/>
          <w:color w:val="000000"/>
          <w:sz w:val="22"/>
        </w:rPr>
        <w:t> </w:t>
      </w:r>
      <w:r>
        <w:rPr>
          <w:rFonts w:ascii="Times New Roman" w:hAnsi="Times New Roman"/>
          <w:b w:val="false"/>
          <w:i w:val="false"/>
          <w:color w:val="000000"/>
          <w:sz w:val="22"/>
        </w:rPr>
        <w:t>The administrator shall be responsible for the implementation of procedures to support the policies established by the licensee.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7">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481—65.9</w:t>
      </w:r>
      <w:r>
        <w:rPr>
          <w:rFonts w:ascii="Times New Roman" w:hAnsi="Times New Roman"/>
          <w:b/>
          <w:i w:val="false"/>
          <w:color w:val="000000"/>
          <w:sz w:val="22"/>
        </w:rPr>
        <w:t xml:space="preserve">(135C) </w:t>
      </w:r>
      <w:r>
        <w:rPr>
          <w:rFonts w:ascii="Times New Roman" w:hAnsi="Times New Roman"/>
          <w:b/>
          <w:i w:val="false"/>
          <w:color w:val="000000"/>
          <w:sz w:val="22"/>
        </w:rPr>
        <w:t xml:space="preserve">Personnel.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65.9(1)</w:t>
      </w:r>
      <w:r>
        <w:rPr>
          <w:rFonts w:ascii="Times New Roman" w:hAnsi="Times New Roman"/>
          <w:b w:val="false"/>
          <w:i w:val="false"/>
          <w:color w:val="000000"/>
          <w:sz w:val="22"/>
        </w:rPr>
        <w:t> </w:t>
      </w:r>
      <w:r>
        <w:rPr>
          <w:rFonts w:ascii="Times New Roman" w:hAnsi="Times New Roman"/>
          <w:b w:val="false"/>
          <w:i w:val="false"/>
          <w:color w:val="000000"/>
          <w:sz w:val="22"/>
        </w:rPr>
        <w:t>The personnel policies and procedures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job descriptions for all employees or agreements for all consultants, which include duties and responsibilities, education, experience, or other requirements, and supervisory relationships;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evaluations of all employees and consultants which are dated and signed by the employee or consultant and the supervisor;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Personnel records which are current, accurate, complete and confidential to the extent allowed by law. The record shall contain documentation of how the employee’s or consultant’s education and experience are relevant to the position for which they were hired;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Roles, responsibilities, and limitation of student interns and volunteers;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orientation program for all newly hired employees and consultants which includes introduction to facility personnel policies and procedures and a discussion of the safety plan. Subparagraphs </w:t>
      </w:r>
      <w:hyperlink r:id="rId28">
        <w:r>
          <w:rPr>
            <w:rStyle w:val="Hyperlink"/>
            <w:rFonts w:ascii="Times New Roman" w:hAnsi="Times New Roman"/>
            <w:b w:val="false"/>
            <w:i w:val="false"/>
            <w:color w:val="000000"/>
            <w:sz w:val="22"/>
          </w:rPr>
          <w:t>65.9(1)</w:t>
        </w:r>
      </w:hyperlink>
      <w:r>
        <w:rPr>
          <w:rFonts w:ascii="Times New Roman" w:hAnsi="Times New Roman"/>
          <w:b w:val="false"/>
          <w:i/>
          <w:color w:val="000000"/>
          <w:sz w:val="22"/>
        </w:rPr>
        <w:t>“f”</w:t>
      </w:r>
      <w:r>
        <w:rPr>
          <w:rFonts w:ascii="Times New Roman" w:hAnsi="Times New Roman"/>
          <w:b w:val="false"/>
          <w:i w:val="false"/>
          <w:color w:val="000000"/>
          <w:sz w:val="22"/>
        </w:rPr>
        <w:t>(3), (5) and (9) shall be included;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plan for a continuing education program with a minimum of 12 in-service programs per year. There shall be a written, individualized staff development plan implemented for each employee. The plan shall take into consideration the duties of the employee and the needs of the facility identified in the résumé of care. The plan shall ensure that each employee has the opportunity to develop and enhance skills and to broaden and increase knowledge needed to provide effective resident care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First aid;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Human needs and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Problems and needs of persons with mental illness; for example, diagnosis and treatment, suicide assessment and prevention;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Crisis intervention; for example, use of restraints and seclusion;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Delivery of services in accordance with the principles of normalization;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Infection control and wellness;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Fire safety, disaster, and tornado preparation;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Resident rights.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Equal opportunity and affirmative action employment practices;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disciplining an employee;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Appropriate dress and personal hygiene for staff and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65.9(2)</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personnel policies for each facility. Personnel policies shall include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have a physical examination before employment and at least every four years after beginning employment.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and testing for tuberculosis shall be conducted pursuant to </w:t>
      </w:r>
      <w:hyperlink r:id="rId29">
        <w:r>
          <w:rPr>
            <w:rStyle w:val="Hyperlink"/>
            <w:rFonts w:ascii="Times New Roman" w:hAnsi="Times New Roman"/>
            <w:b w:val="false"/>
            <w:i w:val="false"/>
            <w:color w:val="000000"/>
            <w:sz w:val="22"/>
          </w:rPr>
          <w:t>481—Chapter 59</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one shall provide services in a facility if the person has a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Which is transmissible through required workplace contact;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Which presents a significant risk of infecting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Which presents a substantial possibility of harming others;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which no reasonable accommodation can eliminate the risk. (I, II, III)</w:t>
      </w:r>
    </w:p>
    <w:p>
      <w:pPr>
        <w:spacing w:before="0" w:after="0"/>
        <w:ind w:left="120"/>
        <w:jc w:val="both"/>
      </w:pPr>
      <w:r>
        <w:rPr>
          <w:rFonts w:ascii="Times New Roman" w:hAnsi="Times New Roman"/>
          <w:b w:val="false"/>
          <w:i w:val="false"/>
          <w:color w:val="000000"/>
          <w:sz w:val="22"/>
        </w:rPr>
        <w:t>Refer to Guideline for Infection Control in Hospital Personnel, 1998, Centers for Disease Control, U.S. Department of Health and Human Services, to determine (1), (2), (3) and (4).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for emergency medical care for employees in case of sudden illness or accident. These policies shall include the administrative individuals to be contacted.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Health certificates for all employees shall be available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65.9(3)</w:t>
      </w:r>
      <w:r>
        <w:rPr>
          <w:rFonts w:ascii="Times New Roman" w:hAnsi="Times New Roman"/>
          <w:b w:val="false"/>
          <w:i w:val="false"/>
          <w:color w:val="000000"/>
          <w:sz w:val="22"/>
        </w:rPr>
        <w:t> </w:t>
      </w:r>
      <w:r>
        <w:rPr>
          <w:rFonts w:ascii="Times New Roman" w:hAnsi="Times New Roman"/>
          <w:b w:val="false"/>
          <w:i w:val="false"/>
          <w:color w:val="000000"/>
          <w:sz w:val="22"/>
        </w:rPr>
        <w:t>Staffing. The facility shall establish, subject to approval of the department, the numbers and qualifications of the staff required in an ICF/PMI using as its criteria the services being offered as indicated on the résumé of care and as required for implementation of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care staff. Direct care staff shall be present in the facility unless all residents are involved in activities away from the facility. The policies and procedures shall provide for an on-call staff person to be available when residents and staff are absent from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on-call staff person shall be designated in writing.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Residents or another responsible person shall be informed of how to contact the on-call person. (II, III)</w:t>
      </w:r>
    </w:p>
    <w:p>
      <w:pPr>
        <w:spacing w:before="0" w:after="0"/>
        <w:ind w:left="120"/>
        <w:jc w:val="both"/>
      </w:pPr>
      <w:r>
        <w:rPr>
          <w:rFonts w:ascii="Times New Roman" w:hAnsi="Times New Roman"/>
          <w:b w:val="false"/>
          <w:i w:val="false"/>
          <w:color w:val="000000"/>
          <w:sz w:val="22"/>
        </w:rPr>
        <w:t>The staffing plan shall ensure that at least one qualified direct care staff person is on duty to carry out and implement the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Qualified mental health professional. The ICF/PMI shall, by direct employment or contract, provide for sufficient services of a qualified mental health professional to attain or maintain the highest practicable mental and psychosocial well-being of each resident. Attainment shall be determined by resident assessment and individual plans of care. (I, II, III) Responsibilities of the QMHP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Approval of each resident’s individual program plan;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Monitoring the implementation of each resident’s individual program plan, including periodic personal contact;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Participation on each resident’s interdisciplinary team.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Nursing staff. Each facility shall have sufficient nursing staff to provide nursing and related services to attain or maintain the highest practical physical, mental and psychosocial well-being of each resident. Attainment shall be determined by resident assessments and individual plans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of nursing (DON) shall be a registered nurse who is employed by the facility at least 40 hours per week. This person shall have two years’ experience in direct care or supervision of people with mental illness.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24-hour service by licensed nurses, including at least one registered nurse on the day tour of duty, seven days a week.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DON has other institutional responsibilities, a qualified registered nurse shall serve as the DON’s assistant so there is the equivalent of a full-time nursing supervisor on duty.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 shall establish, on an individual facility basis, the numbers and qualifications of the staff required in the facility using as its criteria the services being offered as indicated on the résumé of care and as required for implementation of individual program plans.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DON shall not serve as charge nurse in a facility with an average daily total occupancy of 60 or more residents.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waivered licensed practical nurse shall not be allowed as a charge nurse on any shift.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shall be at least two people capable of rendering nursing service awake, dressed, and on duty at all times.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Activity staff. Each ICF/PMI shall employ a recreational therapist, occupational therapist or activity coordinator to direct the activity program both inside and outside the facility in accordance with each resident’s individual program plan. (III)</w:t>
      </w:r>
    </w:p>
    <w:p>
      <w:pPr>
        <w:spacing w:before="0" w:after="0"/>
        <w:ind w:left="120"/>
        <w:jc w:val="both"/>
      </w:pPr>
      <w:r>
        <w:rPr>
          <w:rFonts w:ascii="Times New Roman" w:hAnsi="Times New Roman"/>
          <w:b w:val="false"/>
          <w:i w:val="false"/>
          <w:color w:val="000000"/>
          <w:sz w:val="22"/>
        </w:rPr>
        <w:t>Staff for the activity program shall be based on the needs of the residents being served as identified on the IPP.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activity program director shall attend workshops or educational programs which relate to activity programming. These shall total a minimum of ten contact hours per year.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Personnel coverage shall be provided when the activity program director is absent during scheduled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activity program director shall have access to all information about residents necessary to carry out the program.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Responsibilities of the activity program director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Coordinating all activities, including volunteer or auxiliary activities and religious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Ensuring that all records required are kept;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Coordinating the activity program with all other services in the facility;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Participating in the in-service training program in the facility. This shall include attending as well as presenting sessions.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65.9(4)</w:t>
      </w:r>
      <w:r>
        <w:rPr>
          <w:rFonts w:ascii="Times New Roman" w:hAnsi="Times New Roman"/>
          <w:b w:val="false"/>
          <w:i w:val="false"/>
          <w:color w:val="000000"/>
          <w:sz w:val="22"/>
        </w:rPr>
        <w:t> </w:t>
      </w:r>
      <w:r>
        <w:rPr>
          <w:rFonts w:ascii="Times New Roman" w:hAnsi="Times New Roman"/>
          <w:b w:val="false"/>
          <w:i w:val="false"/>
          <w:color w:val="000000"/>
          <w:sz w:val="22"/>
        </w:rPr>
        <w:t>Personnel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personnel record shall be kept for each employee.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shall include the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Date of birth,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Date of employment,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References,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Position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Job description,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Documentation of experience and education,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Staff development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Annual performance evaluation,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Documentation of disciplinary action,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Date and reason for discharge or resignation,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Current physical examination.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65.9(5)</w:t>
      </w:r>
      <w:r>
        <w:rPr>
          <w:rFonts w:ascii="Times New Roman" w:hAnsi="Times New Roman"/>
          <w:b w:val="false"/>
          <w:i w:val="false"/>
          <w:color w:val="000000"/>
          <w:sz w:val="22"/>
        </w:rPr>
        <w:t> </w:t>
      </w:r>
      <w:r>
        <w:rPr>
          <w:rFonts w:ascii="Times New Roman" w:hAnsi="Times New Roman"/>
          <w:b w:val="false"/>
          <w:i w:val="false"/>
          <w:color w:val="000000"/>
          <w:sz w:val="22"/>
        </w:rPr>
        <w:t xml:space="preserve">Employee criminal record checks, child abuse checks and dependent adult abuse checks and employment of individuals who have committed a crime or have a founded abuse. The facility shall comply with the requirements found in Iowa Code section </w:t>
      </w:r>
      <w:hyperlink r:id="rId30">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2013 Iowa Acts, Senate File 347</w:t>
      </w:r>
      <w:r>
        <w:rPr>
          <w:rFonts w:ascii="Times New Roman" w:hAnsi="Times New Roman"/>
          <w:b w:val="false"/>
          <w:i w:val="false"/>
          <w:color w:val="000000"/>
          <w:sz w:val="22"/>
        </w:rPr>
        <w:t xml:space="preserve">, and rule </w:t>
      </w:r>
      <w:hyperlink r:id="rId31">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2">
        <w:r>
          <w:rPr>
            <w:rStyle w:val="Hyperlink"/>
            <w:rFonts w:ascii="Times New Roman" w:hAnsi="Times New Roman"/>
            <w:b w:val="false"/>
            <w:i w:val="false"/>
            <w:color w:val="000000"/>
            <w:sz w:val="22"/>
          </w:rPr>
          <w:t>135C.14(2)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135C.14(6)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0663C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481—65.10</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admission policies. </w:t>
      </w:r>
      <w:r>
        <w:rPr>
          <w:rFonts w:ascii="Times New Roman" w:hAnsi="Times New Roman"/>
          <w:b w:val="false"/>
          <w:i w:val="false"/>
          <w:color w:val="000000"/>
          <w:sz w:val="22"/>
        </w:rPr>
        <w:t>There shall be admission policies which address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No resident shall be admitted or retained who is in need of greater services than the facility can provide.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Residents shall be admitted only on a written order signed by a physician.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preplacement visit shall be completed prior to admission, except in case of an emergency admission or readmission, to familiarize the applicant with the facility and services offered. The policies and procedures may allow for waiving the requirement at the request of a person seeking admission when the completion of the visit would create a hardship for the person seeking admission. If the distance to be traveled makes it impossible to complete the visit in an eight-hour day, this may be considered to create a hardship. (III)</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Prior to admission of an applicant, the facility shall obtain sufficient information to determine if its program is appropriate and adequate to meet the person’s needs. (III)</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Admission criteria shall include, but not be limited to, age, sex, current diagnosis from an American Psychiatric Association Diagnostic and Statistical Manual of Mental Disorders, substance abuse, dual diagnosis and criteria that are consistent with the résumé of care. (III)</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Each facility shall maintain a waiting list with selection priorities identified. (III)</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No ICF/PMI may admit more residents than the number of beds for which it is licensed. (II, III)</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There shall be a written, organized orientation program for all residents which shall be planned and implemented to resolve or reduce personal, family, business, and emotional problems that may interfere with the health care, recovery, and rehabilitation of the individual and which shall be available for review by the department. (III)</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Infants and children under the age of 18 shall not be admitted as residents to an ICF/PMI for adults unless given prior written approval by the department. A distinct part of an ICF/PMI, segregated from the adult section, may be established based on a résumé of care submitted by the licensee or applicant which is commensurate with the needs of the residents of the health care facility and has received the department’s review and approval. (III)</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3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3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The provisions of this paragraph shall not apply to the admission of an individual as a resident to a state mental health institute for acute psychiatric care. (II, III)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6">
        <w:r>
          <w:rPr>
            <w:rStyle w:val="Hyperlink"/>
            <w:rFonts w:ascii="Times New Roman" w:hAnsi="Times New Roman"/>
            <w:b w:val="false"/>
            <w:i w:val="false"/>
            <w:color w:val="000000"/>
            <w:sz w:val="22"/>
          </w:rPr>
          <w:t>135C.3</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481—65.11</w:t>
      </w:r>
      <w:r>
        <w:rPr>
          <w:rFonts w:ascii="Times New Roman" w:hAnsi="Times New Roman"/>
          <w:b/>
          <w:i w:val="false"/>
          <w:color w:val="000000"/>
          <w:sz w:val="22"/>
        </w:rPr>
        <w:t xml:space="preserve">(135C) </w:t>
      </w:r>
      <w:r>
        <w:rPr>
          <w:rFonts w:ascii="Times New Roman" w:hAnsi="Times New Roman"/>
          <w:b/>
          <w:i w:val="false"/>
          <w:color w:val="000000"/>
          <w:sz w:val="22"/>
        </w:rPr>
        <w:t xml:space="preserve">Evaluation services. </w:t>
      </w:r>
      <w:r>
        <w:rPr>
          <w:rFonts w:ascii="Times New Roman" w:hAnsi="Times New Roman"/>
          <w:b w:val="false"/>
          <w:i w:val="false"/>
          <w:color w:val="000000"/>
          <w:sz w:val="22"/>
        </w:rPr>
        <w:t>Each resident admitted shall have a physical examination and tuberculin test no more than 30 days before admission and a physical examination annually after that. Each annual examination shall be sufficient to ensure the resident has no physical condition which precludes living in the facility. If the resident is admitted directly from a hospital, a copy of the hospital admission physical and discharge summary may meet this requirement.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65.11(1)</w:t>
      </w:r>
      <w:r>
        <w:rPr>
          <w:rFonts w:ascii="Times New Roman" w:hAnsi="Times New Roman"/>
          <w:b w:val="false"/>
          <w:i w:val="false"/>
          <w:color w:val="000000"/>
          <w:sz w:val="22"/>
        </w:rPr>
        <w:t> </w:t>
      </w:r>
      <w:r>
        <w:rPr>
          <w:rFonts w:ascii="Times New Roman" w:hAnsi="Times New Roman"/>
          <w:b w:val="false"/>
          <w:i w:val="false"/>
          <w:color w:val="000000"/>
          <w:sz w:val="22"/>
        </w:rPr>
        <w:t xml:space="preserve">In addition to the required initial physical examination, each resident shall be evaluated to identify physical health, current level of functioning and the need for services. This evaluation shall be completed within 30 days of admission and annually after that. Information from other sources may be used in the evaluation if the information meets the requirements of subrules </w:t>
      </w:r>
      <w:hyperlink r:id="rId38">
        <w:r>
          <w:rPr>
            <w:rStyle w:val="Hyperlink"/>
            <w:rFonts w:ascii="Times New Roman" w:hAnsi="Times New Roman"/>
            <w:b w:val="false"/>
            <w:i w:val="false"/>
            <w:color w:val="000000"/>
            <w:sz w:val="22"/>
          </w:rPr>
          <w:t>65.11(2)</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65.11(3)</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65.11(2)</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which describes the resident’s physical health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current illnesses and disabilities and include recommendations for physical and physiological treatment and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a description of the resident’s ability for health maintenance;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a mental status examination and history of mental health and treatments;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Be performed by a physician with a valid license to practice medicine and surgery, osteopathic medicine and surgery or osteopathy in Iowa. If the evaluation is not conducted in Iowa, it must be by a physician who holds a current license in the state in which the examination is performed. If the doctor is not a psychiatrist, a psychiatrist or health service provider in psychology licensed under Iowa Code section </w:t>
      </w:r>
      <w:hyperlink r:id="rId40">
        <w:r>
          <w:rPr>
            <w:rStyle w:val="Hyperlink"/>
            <w:rFonts w:ascii="Times New Roman" w:hAnsi="Times New Roman"/>
            <w:b w:val="false"/>
            <w:i w:val="false"/>
            <w:color w:val="000000"/>
            <w:sz w:val="22"/>
          </w:rPr>
          <w:t>154B.7</w:t>
        </w:r>
      </w:hyperlink>
      <w:r>
        <w:rPr>
          <w:rFonts w:ascii="Times New Roman" w:hAnsi="Times New Roman"/>
          <w:b w:val="false"/>
          <w:i w:val="false"/>
          <w:color w:val="000000"/>
          <w:sz w:val="22"/>
        </w:rPr>
        <w:t xml:space="preserve"> shall be consulted regarding the results of the mental status examination.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65.11(3)</w:t>
      </w:r>
      <w:r>
        <w:rPr>
          <w:rFonts w:ascii="Times New Roman" w:hAnsi="Times New Roman"/>
          <w:b w:val="false"/>
          <w:i w:val="false"/>
          <w:color w:val="000000"/>
          <w:sz w:val="22"/>
        </w:rPr>
        <w:t> </w:t>
      </w:r>
      <w:r>
        <w:rPr>
          <w:rFonts w:ascii="Times New Roman" w:hAnsi="Times New Roman"/>
          <w:b w:val="false"/>
          <w:i w:val="false"/>
          <w:color w:val="000000"/>
          <w:sz w:val="22"/>
        </w:rPr>
        <w:t>The portion of the evaluation which describes the resident’s current functioning level and need for services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Identify the functioning level and need for services in self-care, community living skills, psychotherapeutic treatment, vocational skills, and academic skills as appropriate;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 sufficient detail about skills and needs to determine appropriate placement;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made without regard to the availability of services;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performed by a QMHP, consulting with an interdisciplinary team.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65.11(4)</w:t>
      </w:r>
      <w:r>
        <w:rPr>
          <w:rFonts w:ascii="Times New Roman" w:hAnsi="Times New Roman"/>
          <w:b w:val="false"/>
          <w:i w:val="false"/>
          <w:color w:val="000000"/>
          <w:sz w:val="22"/>
        </w:rPr>
        <w:t> </w:t>
      </w:r>
      <w:r>
        <w:rPr>
          <w:rFonts w:ascii="Times New Roman" w:hAnsi="Times New Roman"/>
          <w:b w:val="false"/>
          <w:i w:val="false"/>
          <w:color w:val="000000"/>
          <w:sz w:val="22"/>
        </w:rPr>
        <w:t>Results of all evaluations shall be in writing and maintained in resident records. After the initial evaluation, all subsequent evaluations shall contain sufficient detail to determine changes in the resident’s physical and mental health, skills, and need for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65.11(5)</w:t>
      </w:r>
      <w:r>
        <w:rPr>
          <w:rFonts w:ascii="Times New Roman" w:hAnsi="Times New Roman"/>
          <w:b w:val="false"/>
          <w:i w:val="false"/>
          <w:color w:val="000000"/>
          <w:sz w:val="22"/>
        </w:rPr>
        <w:t> </w:t>
      </w:r>
      <w:r>
        <w:rPr>
          <w:rFonts w:ascii="Times New Roman" w:hAnsi="Times New Roman"/>
          <w:b w:val="false"/>
          <w:i w:val="false"/>
          <w:color w:val="000000"/>
          <w:sz w:val="22"/>
        </w:rPr>
        <w:t>A narrative social history shall be completed for each resident within 30 days of admission. The social history shall be completed and approved by the qualified mental health professional before the IPP is developed.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a social history is secured from another provider, the information shall be reviewed within 30 days of admission. The date of the review and a summary of significant changes in the information shall be entered in the resident’s record. The social worker who reviews the history shall sign it.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annual review of the social history information shall be incorporated in the individual program plan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social history shall address at least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Referral source and reason for admission;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Legal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Previous living arrangements;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Services received previously and current service involvements;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Significant medical and mental health conditions including at least illnesses, hospitalizations, past and current drug therapy, and special diets;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Substance abuse history;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Work history;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Education history;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Relationship with family, significant others, and other support systems;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Cultural, ethnic and religious background;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Hobbies and leisure time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Likes, dislikes, habits, and patterns of behavior;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History of aggressive or suicidal behavior;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Impressions and recommendations. (II,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1">
        <w:r>
          <w:rPr>
            <w:rStyle w:val="Hyperlink"/>
            <w:rFonts w:ascii="Times New Roman" w:hAnsi="Times New Roman"/>
            <w:b w:val="false"/>
            <w:i w:val="false"/>
            <w:color w:val="000000"/>
            <w:sz w:val="22"/>
          </w:rPr>
          <w:t>135C.14(7)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481—65.12</w:t>
      </w:r>
      <w:r>
        <w:rPr>
          <w:rFonts w:ascii="Times New Roman" w:hAnsi="Times New Roman"/>
          <w:b/>
          <w:i w:val="false"/>
          <w:color w:val="000000"/>
          <w:sz w:val="22"/>
        </w:rPr>
        <w:t xml:space="preserve">(135C) </w:t>
      </w:r>
      <w:r>
        <w:rPr>
          <w:rFonts w:ascii="Times New Roman" w:hAnsi="Times New Roman"/>
          <w:b/>
          <w:i w:val="false"/>
          <w:color w:val="000000"/>
          <w:sz w:val="22"/>
        </w:rPr>
        <w:t xml:space="preserve">Individual program plan (IPP). </w:t>
      </w:r>
      <w:r>
        <w:rPr>
          <w:rFonts w:ascii="Times New Roman" w:hAnsi="Times New Roman"/>
          <w:b w:val="false"/>
          <w:i w:val="false"/>
          <w:color w:val="000000"/>
          <w:sz w:val="22"/>
        </w:rPr>
        <w:t xml:space="preserve">An initial program plan shall be developed within 24 hours of admission. This plan shall be based on information gained from the resident, family, physician or referring facility. Services to be provided shall be addressed. Intervention to be provided, if and when the need arises, shall also be addressed in the IPP. The plan shall be followed until the IPP required in subrule </w:t>
      </w:r>
      <w:hyperlink r:id="rId42">
        <w:r>
          <w:rPr>
            <w:rStyle w:val="Hyperlink"/>
            <w:rFonts w:ascii="Times New Roman" w:hAnsi="Times New Roman"/>
            <w:b w:val="false"/>
            <w:i w:val="false"/>
            <w:color w:val="000000"/>
            <w:sz w:val="22"/>
          </w:rPr>
          <w:t>65.12(1)</w:t>
        </w:r>
      </w:hyperlink>
      <w:r>
        <w:rPr>
          <w:rFonts w:ascii="Times New Roman" w:hAnsi="Times New Roman"/>
          <w:b w:val="false"/>
          <w:i w:val="false"/>
          <w:color w:val="000000"/>
          <w:sz w:val="22"/>
        </w:rPr>
        <w:t xml:space="preserve"> is complete. The initial plan shall be completed by a registered nurse, a qualified social worker or a QMHP.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65.12(1)</w:t>
      </w:r>
      <w:r>
        <w:rPr>
          <w:rFonts w:ascii="Times New Roman" w:hAnsi="Times New Roman"/>
          <w:b w:val="false"/>
          <w:i w:val="false"/>
          <w:color w:val="000000"/>
          <w:sz w:val="22"/>
        </w:rPr>
        <w:t> </w:t>
      </w:r>
      <w:r>
        <w:rPr>
          <w:rFonts w:ascii="Times New Roman" w:hAnsi="Times New Roman"/>
          <w:b w:val="false"/>
          <w:i w:val="false"/>
          <w:color w:val="000000"/>
          <w:sz w:val="22"/>
        </w:rPr>
        <w:t>An individual program plan for each resident shall be developed by an interdisciplinary team. The resident or the resident’s legal guardian has the ultimate authority to accept or reject the plan unless otherwise determined by the court. The IPP shall be approved and have implementation monitored by the QMHP.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IPP shall be based on the individual service plan of the referring agency, if available, the information contained in the social history, the need for services identified in the evaluation, and any other pertinent information.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assist the resident in obtaining access to academic services, community living skills training, legal services, self-care training, support services, transportation, treatment, and vocational education as needed. These services may be provided by the facility or obtained from other providers.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Services to the resident shall be provided in the least restrictive environment and shall incorporate the principle of normalization.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needed services are not available and accessible, the facility shall document the actions taken to locate and obtain those services. The documentation shall identify needs which will not be met because of the lack of available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IPP shall be developed within 30 days following admission to the facility and renewed at least annually.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IPP shall be written, dated, signed by the interdisciplinary team members, and maintained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Written notice of the meeting to develop an IPP shall be mailed or delivered to everyone included in the interdisciplinary team conference at least two weeks before the scheduled meeting.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65.12(2)</w:t>
      </w:r>
      <w:r>
        <w:rPr>
          <w:rFonts w:ascii="Times New Roman" w:hAnsi="Times New Roman"/>
          <w:b w:val="false"/>
          <w:i w:val="false"/>
          <w:color w:val="000000"/>
          <w:sz w:val="22"/>
        </w:rPr>
        <w:t> </w:t>
      </w:r>
      <w:r>
        <w:rPr>
          <w:rFonts w:ascii="Times New Roman" w:hAnsi="Times New Roman"/>
          <w:b w:val="false"/>
          <w:i w:val="false"/>
          <w:color w:val="000000"/>
          <w:sz w:val="22"/>
        </w:rPr>
        <w:t>The IPP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Goals,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Objectives,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Specific services to be provided,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People or agency responsible for providing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Beginning date,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Anticipated duration of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65.12(3)</w:t>
      </w:r>
      <w:r>
        <w:rPr>
          <w:rFonts w:ascii="Times New Roman" w:hAnsi="Times New Roman"/>
          <w:b w:val="false"/>
          <w:i w:val="false"/>
          <w:color w:val="000000"/>
          <w:sz w:val="22"/>
        </w:rPr>
        <w:t> </w:t>
      </w:r>
      <w:r>
        <w:rPr>
          <w:rFonts w:ascii="Times New Roman" w:hAnsi="Times New Roman"/>
          <w:b w:val="false"/>
          <w:i w:val="false"/>
          <w:color w:val="000000"/>
          <w:sz w:val="22"/>
        </w:rPr>
        <w:t>The IPP shall set out the procedure to be used to evaluate whether objectives are achieved. This procedure shall incorporate a process for ongoing review and revision.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65.12(4)</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review the IPP at a team meeting at least quarterly and when the resident’s condition changes.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interdisciplinary team shall develop a written report which addresses: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resident’s progress toward objectives;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need for continued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Recommendations concerning alternative services or living arrangements;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recommended change in guardianship, conservatorship or commitment status.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report shall reflect those involved in the review, the date of the review, and be maintained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65.12(5)</w:t>
      </w:r>
      <w:r>
        <w:rPr>
          <w:rFonts w:ascii="Times New Roman" w:hAnsi="Times New Roman"/>
          <w:b w:val="false"/>
          <w:i w:val="false"/>
          <w:color w:val="000000"/>
          <w:sz w:val="22"/>
        </w:rPr>
        <w:t> </w:t>
      </w:r>
      <w:r>
        <w:rPr>
          <w:rFonts w:ascii="Times New Roman" w:hAnsi="Times New Roman"/>
          <w:b w:val="false"/>
          <w:i w:val="false"/>
          <w:color w:val="000000"/>
          <w:sz w:val="22"/>
        </w:rPr>
        <w:t>There shall be procedures for recording the activities of each service provider and a mechanism to coordinate the activities of all service providers. Resident response to all activities shall be recorded.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create a record at the time of a service required by the IPP. If this is not possible, the record shall be written no more than seven days later.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services are provided more than once a week, staff may make a monthly summarized entry in the resident’s record.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Entries shall be dated and signed by the person who provides the service.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Entries shall be made when incidents occur.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Entries shall be written in terms of behavioral observations and specific activities. Entries that involve subjective interpretations of a resident’s behavior or progress shall be clearly identified and shall be supplemented with descriptions of behavior upon which the interpretation was based.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481—65.13</w:t>
      </w:r>
      <w:r>
        <w:rPr>
          <w:rFonts w:ascii="Times New Roman" w:hAnsi="Times New Roman"/>
          <w:b/>
          <w:i w:val="false"/>
          <w:color w:val="000000"/>
          <w:sz w:val="22"/>
        </w:rPr>
        <w:t xml:space="preserve">(135C) </w:t>
      </w:r>
      <w:r>
        <w:rPr>
          <w:rFonts w:ascii="Times New Roman" w:hAnsi="Times New Roman"/>
          <w:b/>
          <w:i w:val="false"/>
          <w:color w:val="000000"/>
          <w:sz w:val="22"/>
        </w:rPr>
        <w:t xml:space="preserve">Activity program. </w:t>
      </w:r>
      <w:r>
        <w:rPr>
          <w:rFonts w:ascii="Times New Roman" w:hAnsi="Times New Roman"/>
          <w:b w:val="false"/>
          <w:i w:val="false"/>
          <w:color w:val="000000"/>
          <w:sz w:val="22"/>
        </w:rPr>
        <w:t xml:space="preserve">Each ICF/PMI shall have an organized activity program which is directed by a person qualified as required by </w:t>
      </w:r>
      <w:hyperlink r:id="rId44">
        <w:r>
          <w:rPr>
            <w:rStyle w:val="Hyperlink"/>
            <w:rFonts w:ascii="Times New Roman" w:hAnsi="Times New Roman"/>
            <w:b w:val="false"/>
            <w:i w:val="false"/>
            <w:color w:val="000000"/>
            <w:sz w:val="22"/>
          </w:rPr>
          <w:t>65.9(3)</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65.13(1)</w:t>
      </w:r>
      <w:r>
        <w:rPr>
          <w:rFonts w:ascii="Times New Roman" w:hAnsi="Times New Roman"/>
          <w:b w:val="false"/>
          <w:i w:val="false"/>
          <w:color w:val="000000"/>
          <w:sz w:val="22"/>
        </w:rPr>
        <w:t> </w:t>
      </w:r>
      <w:r>
        <w:rPr>
          <w:rFonts w:ascii="Times New Roman" w:hAnsi="Times New Roman"/>
          <w:b w:val="false"/>
          <w:i w:val="false"/>
          <w:color w:val="000000"/>
          <w:sz w:val="22"/>
        </w:rPr>
        <w:t>An activity program plan for the facility shall be based on needs identified in IPPs and on other interests expressed by residents. The activity program shall include leisure time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65.13(2)</w:t>
      </w:r>
      <w:r>
        <w:rPr>
          <w:rFonts w:ascii="Times New Roman" w:hAnsi="Times New Roman"/>
          <w:b w:val="false"/>
          <w:i w:val="false"/>
          <w:color w:val="000000"/>
          <w:sz w:val="22"/>
        </w:rPr>
        <w:t> </w:t>
      </w:r>
      <w:r>
        <w:rPr>
          <w:rFonts w:ascii="Times New Roman" w:hAnsi="Times New Roman"/>
          <w:b w:val="false"/>
          <w:i w:val="false"/>
          <w:color w:val="000000"/>
          <w:sz w:val="22"/>
        </w:rPr>
        <w:t>Activities shall be offered at least daily during the daytime hours if residents are present, twice weekly in the evening and twice on the weekend.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65.13(3)</w:t>
      </w:r>
      <w:r>
        <w:rPr>
          <w:rFonts w:ascii="Times New Roman" w:hAnsi="Times New Roman"/>
          <w:b w:val="false"/>
          <w:i w:val="false"/>
          <w:color w:val="000000"/>
          <w:sz w:val="22"/>
        </w:rPr>
        <w:t> </w:t>
      </w:r>
      <w:r>
        <w:rPr>
          <w:rFonts w:ascii="Times New Roman" w:hAnsi="Times New Roman"/>
          <w:b w:val="false"/>
          <w:i w:val="false"/>
          <w:color w:val="000000"/>
          <w:sz w:val="22"/>
        </w:rPr>
        <w:t>Activities offered shall be varied and shall be planned for individuals, small groups or large groups.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65.13(4)</w:t>
      </w:r>
      <w:r>
        <w:rPr>
          <w:rFonts w:ascii="Times New Roman" w:hAnsi="Times New Roman"/>
          <w:b w:val="false"/>
          <w:i w:val="false"/>
          <w:color w:val="000000"/>
          <w:sz w:val="22"/>
        </w:rPr>
        <w:t> </w:t>
      </w:r>
      <w:r>
        <w:rPr>
          <w:rFonts w:ascii="Times New Roman" w:hAnsi="Times New Roman"/>
          <w:b w:val="false"/>
          <w:i w:val="false"/>
          <w:color w:val="000000"/>
          <w:sz w:val="22"/>
        </w:rPr>
        <w:t>Monthly calendars shall be prepared in advance and shall be kept for review by the department. Substitutions and cancellations shall be noted.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65.13(5)</w:t>
      </w:r>
      <w:r>
        <w:rPr>
          <w:rFonts w:ascii="Times New Roman" w:hAnsi="Times New Roman"/>
          <w:b w:val="false"/>
          <w:i w:val="false"/>
          <w:color w:val="000000"/>
          <w:sz w:val="22"/>
        </w:rPr>
        <w:t> </w:t>
      </w:r>
      <w:r>
        <w:rPr>
          <w:rFonts w:ascii="Times New Roman" w:hAnsi="Times New Roman"/>
          <w:b w:val="false"/>
          <w:i w:val="false"/>
          <w:color w:val="000000"/>
          <w:sz w:val="22"/>
        </w:rPr>
        <w:t>Activities department personnel shall coordinate programs with other facility personnel. (III)</w:t>
      </w:r>
    </w:p>
    <w:p>
      <w:pPr>
        <w:spacing w:before="0" w:after="0"/>
        <w:ind w:left="120"/>
        <w:jc w:val="both"/>
      </w:pPr>
      <w:r>
        <w:rPr>
          <w:rFonts w:ascii="Times New Roman" w:hAnsi="Times New Roman"/>
          <w:b/>
          <w:i w:val="false"/>
          <w:color w:val="000000"/>
          <w:sz w:val="22"/>
        </w:rPr>
        <w:t>481—65.14</w:t>
      </w:r>
      <w:r>
        <w:rPr>
          <w:rFonts w:ascii="Times New Roman" w:hAnsi="Times New Roman"/>
          <w:b/>
          <w:i w:val="false"/>
          <w:color w:val="000000"/>
          <w:sz w:val="22"/>
        </w:rPr>
        <w:t xml:space="preserve">(135C) </w:t>
      </w:r>
      <w:r>
        <w:rPr>
          <w:rFonts w:ascii="Times New Roman" w:hAnsi="Times New Roman"/>
          <w:b/>
          <w:i w:val="false"/>
          <w:color w:val="000000"/>
          <w:sz w:val="22"/>
        </w:rPr>
        <w:t xml:space="preserve">Crisis intervention. </w:t>
      </w:r>
      <w:r>
        <w:rPr>
          <w:rFonts w:ascii="Times New Roman" w:hAnsi="Times New Roman"/>
          <w:b w:val="false"/>
          <w:i w:val="false"/>
          <w:color w:val="000000"/>
          <w:sz w:val="22"/>
        </w:rPr>
        <w:t>There shall be written policies and procedures concerning crisis intervention. (II) These policies and procedures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Directed to maximizing the growth and development of the individual by incorporating a hierarchy of available alternative methods that emphasize positive approaches; (II,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Available in each program area and living unit; (II,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Available to individuals and their families; (II, III)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Developed with the participation, as appropriate, of individuals served.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65.14(1)</w:t>
      </w:r>
      <w:r>
        <w:rPr>
          <w:rFonts w:ascii="Times New Roman" w:hAnsi="Times New Roman"/>
          <w:b w:val="false"/>
          <w:i w:val="false"/>
          <w:color w:val="000000"/>
          <w:sz w:val="22"/>
        </w:rPr>
        <w:t> </w:t>
      </w:r>
      <w:r>
        <w:rPr>
          <w:rFonts w:ascii="Times New Roman" w:hAnsi="Times New Roman"/>
          <w:b w:val="false"/>
          <w:i w:val="false"/>
          <w:color w:val="000000"/>
          <w:sz w:val="22"/>
        </w:rPr>
        <w:t xml:space="preserve">Corporal punishment, physical abuse, and verbal abuse, for example, shouting, screaming, swearing, name calling, or any other activity which might damage an individual’s self-respect shall be prohibited. All residents shall be treated with fairness and respect as required by rule </w:t>
      </w:r>
      <w:hyperlink r:id="rId45">
        <w:r>
          <w:rPr>
            <w:rStyle w:val="Hyperlink"/>
            <w:rFonts w:ascii="Times New Roman" w:hAnsi="Times New Roman"/>
            <w:b w:val="false"/>
            <w:i w:val="false"/>
            <w:color w:val="000000"/>
            <w:sz w:val="22"/>
          </w:rPr>
          <w:t>481—65.25</w:t>
        </w:r>
      </w:hyperlink>
      <w:r>
        <w:rPr>
          <w:rFonts w:ascii="Times New Roman" w:hAnsi="Times New Roman"/>
          <w:b w:val="false"/>
          <w:i w:val="false"/>
          <w:color w:val="000000"/>
          <w:sz w:val="22"/>
        </w:rPr>
        <w:t>(135C).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65.14(2)</w:t>
      </w:r>
      <w:r>
        <w:rPr>
          <w:rFonts w:ascii="Times New Roman" w:hAnsi="Times New Roman"/>
          <w:b w:val="false"/>
          <w:i w:val="false"/>
          <w:color w:val="000000"/>
          <w:sz w:val="22"/>
        </w:rPr>
        <w:t> </w:t>
      </w:r>
      <w:r>
        <w:rPr>
          <w:rFonts w:ascii="Times New Roman" w:hAnsi="Times New Roman"/>
          <w:b w:val="false"/>
          <w:i w:val="false"/>
          <w:color w:val="000000"/>
          <w:sz w:val="22"/>
        </w:rPr>
        <w:t>Medication shall not be used as punishment, for the convenience of staff, or as a substitute for a program. Direct care staff shall monitor residents on medication and notify the physician if a resident is too sedated to participate in the IPP. (I, II)</w:t>
      </w:r>
    </w:p>
    <w:p>
      <w:pPr>
        <w:spacing w:before="0" w:after="0"/>
        <w:ind w:left="120"/>
        <w:jc w:val="both"/>
      </w:pPr>
      <w:r>
        <w:rPr>
          <w:rFonts w:ascii="Times New Roman" w:hAnsi="Times New Roman"/>
          <w:b/>
          <w:i w:val="false"/>
          <w:color w:val="000000"/>
          <w:sz w:val="22"/>
        </w:rPr>
        <w:t>481—65.15</w:t>
      </w:r>
      <w:r>
        <w:rPr>
          <w:rFonts w:ascii="Times New Roman" w:hAnsi="Times New Roman"/>
          <w:b/>
          <w:i w:val="false"/>
          <w:color w:val="000000"/>
          <w:sz w:val="22"/>
        </w:rPr>
        <w:t xml:space="preserve">(135C) </w:t>
      </w:r>
      <w:r>
        <w:rPr>
          <w:rFonts w:ascii="Times New Roman" w:hAnsi="Times New Roman"/>
          <w:b/>
          <w:i w:val="false"/>
          <w:color w:val="000000"/>
          <w:sz w:val="22"/>
        </w:rPr>
        <w:t xml:space="preserve">Restraint or seclusion. </w:t>
      </w:r>
      <w:r>
        <w:rPr>
          <w:rFonts w:ascii="Times New Roman" w:hAnsi="Times New Roman"/>
          <w:b w:val="false"/>
          <w:i w:val="false"/>
          <w:color w:val="000000"/>
          <w:sz w:val="22"/>
        </w:rPr>
        <w:t>Physician’s orders are required to use any kind of mechanical restraints or seclusion. (I, II, III) Restraints are defined as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Type I is physical restraint which uses equipment to promote the safety of the individual. It is not applied directly to a person. Examples: divided doors and side rails.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 II is mechanical restraint applied to someone’s body. A device is applied to the body to promote safety of the individual. Examples: vests or soft tie devices, hand socks, geriatric chairs.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Type III is mechanical restraint applied to any part of the body which inhibits only the movement of that part of the body. Examples: wrist, ankle or leg restraints and waist straps.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w:t>
      </w:r>
      <w:r>
        <w:rPr>
          <w:rFonts w:ascii="Times New Roman" w:hAnsi="Times New Roman"/>
          <w:b w:val="false"/>
          <w:i w:val="false"/>
          <w:color w:val="000000"/>
          <w:sz w:val="22"/>
        </w:rPr>
        <w:t> </w:t>
      </w:r>
      <w:r>
        <w:rPr>
          <w:rFonts w:ascii="Times New Roman" w:hAnsi="Times New Roman"/>
          <w:b w:val="false"/>
          <w:i w:val="false"/>
          <w:color w:val="000000"/>
          <w:sz w:val="22"/>
        </w:rPr>
        <w:t>Temporary restraint of residents shall be used only to prevent injury to the resident or to others.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65.15(2)</w:t>
      </w:r>
      <w:r>
        <w:rPr>
          <w:rFonts w:ascii="Times New Roman" w:hAnsi="Times New Roman"/>
          <w:b w:val="false"/>
          <w:i w:val="false"/>
          <w:color w:val="000000"/>
          <w:sz w:val="22"/>
        </w:rPr>
        <w:t> </w:t>
      </w:r>
      <w:r>
        <w:rPr>
          <w:rFonts w:ascii="Times New Roman" w:hAnsi="Times New Roman"/>
          <w:b w:val="false"/>
          <w:i w:val="false"/>
          <w:color w:val="000000"/>
          <w:sz w:val="22"/>
        </w:rPr>
        <w:t>Temporary seclusion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To prevent injury to the resident or to others;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prevent serious disruption to the treatment program of other residents;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 decrease stimulation which contributes to psychotic behavior;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other interventions have failed. (I, II)</w:t>
      </w:r>
    </w:p>
    <w:p>
      <w:pPr>
        <w:spacing w:before="0" w:after="0"/>
        <w:ind w:left="120"/>
        <w:jc w:val="both"/>
      </w:pPr>
      <w:r>
        <w:rPr>
          <w:rFonts w:ascii="Times New Roman" w:hAnsi="Times New Roman"/>
          <w:b w:val="false"/>
          <w:i w:val="false"/>
          <w:color w:val="000000"/>
          <w:sz w:val="22"/>
        </w:rPr>
        <w:t>Restraint and seclusion shall not be used for punishment, for the convenience of staff, or as a substitution for supervision of program. Seclusion shall be used only in a department approved seclusion room.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65.15(3)</w:t>
      </w:r>
      <w:r>
        <w:rPr>
          <w:rFonts w:ascii="Times New Roman" w:hAnsi="Times New Roman"/>
          <w:b w:val="false"/>
          <w:i w:val="false"/>
          <w:color w:val="000000"/>
          <w:sz w:val="22"/>
        </w:rPr>
        <w:t> </w:t>
      </w:r>
      <w:r>
        <w:rPr>
          <w:rFonts w:ascii="Times New Roman" w:hAnsi="Times New Roman"/>
          <w:b w:val="false"/>
          <w:i w:val="false"/>
          <w:color w:val="000000"/>
          <w:sz w:val="22"/>
        </w:rPr>
        <w:t>Restraints shall be stored in an area easily accessible to staff. (I, II, III) Type II and Type III restraints shall be specifically designed, manufactured, and customarily used to restrain individuals hospitalized in licensed psychiatric hospitals. Metal and plastic handcuffs, rope and makeshift devices are prohibited.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65.15(4)</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shall a resident be allowed to participate in the restraint of another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65.15(5)</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policies that address the basic assumption and philosophy that govern the use of seclusion and physical and mechanical restraint. These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Define the uses of seclusion and mechanical restraints;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Designate staff who may authorize its 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Identify procedures to follow when implementing the policy which shall include provisions to ensure privacy and safety for restrained residents;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written plan for treatment following the use of restraint or seclusion.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65.15(6)</w:t>
      </w:r>
      <w:r>
        <w:rPr>
          <w:rFonts w:ascii="Times New Roman" w:hAnsi="Times New Roman"/>
          <w:b w:val="false"/>
          <w:i w:val="false"/>
          <w:color w:val="000000"/>
          <w:sz w:val="22"/>
        </w:rPr>
        <w:t> </w:t>
      </w:r>
      <w:r>
        <w:rPr>
          <w:rFonts w:ascii="Times New Roman" w:hAnsi="Times New Roman"/>
          <w:b w:val="false"/>
          <w:i w:val="false"/>
          <w:color w:val="000000"/>
          <w:sz w:val="22"/>
        </w:rPr>
        <w:t>The physician and QMHP shall be notified immediately of the resident’s need for placement in restraint or seclusion. An order for restraint or seclusion identifying the type, purpose and duration of use shall be obtained from the physician. If the resident is in seclusion longer than four hours, the physician and qualified mental health professional shall visit and evaluate the resident before the seclusion order is continued. If the resident is in restraint for two hours, the physician shall be called before the restraint order can be continued. If the resident is in restraint longer than four hours, the physician and QMHP shall visit and evaluate the resident before a restraint order is continued. Standing or PRN orders for seclusion or restraint are prohibited.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65.15(7)</w:t>
      </w:r>
      <w:r>
        <w:rPr>
          <w:rFonts w:ascii="Times New Roman" w:hAnsi="Times New Roman"/>
          <w:b w:val="false"/>
          <w:i w:val="false"/>
          <w:color w:val="000000"/>
          <w:sz w:val="22"/>
        </w:rPr>
        <w:t> </w:t>
      </w:r>
      <w:r>
        <w:rPr>
          <w:rFonts w:ascii="Times New Roman" w:hAnsi="Times New Roman"/>
          <w:b w:val="false"/>
          <w:i w:val="false"/>
          <w:color w:val="000000"/>
          <w:sz w:val="22"/>
        </w:rPr>
        <w:t>If a resident is restrained with Type II or Type III restraints for 6 hours or secluded for 12 hours in a 24-hour period; or if the resident is secluded or restrained with Type II or Type III restraints for any amount of time in three consecutive 24-hour periods, the physician and QMHP shall visit the resident and assess the resident’s need for a higher level of care. If the need for restraint or seclusion continues, the resident shall be transferred to an acute level of care.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65.15(8)</w:t>
      </w:r>
      <w:r>
        <w:rPr>
          <w:rFonts w:ascii="Times New Roman" w:hAnsi="Times New Roman"/>
          <w:b w:val="false"/>
          <w:i w:val="false"/>
          <w:color w:val="000000"/>
          <w:sz w:val="22"/>
        </w:rPr>
        <w:t> </w:t>
      </w:r>
      <w:r>
        <w:rPr>
          <w:rFonts w:ascii="Times New Roman" w:hAnsi="Times New Roman"/>
          <w:b w:val="false"/>
          <w:i w:val="false"/>
          <w:color w:val="000000"/>
          <w:sz w:val="22"/>
        </w:rPr>
        <w:t>During any period of mechanical restraint or seclusion, the facility shall provide for the emotional and physical needs of the resident.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65.15(9)</w:t>
      </w:r>
      <w:r>
        <w:rPr>
          <w:rFonts w:ascii="Times New Roman" w:hAnsi="Times New Roman"/>
          <w:b w:val="false"/>
          <w:i w:val="false"/>
          <w:color w:val="000000"/>
          <w:sz w:val="22"/>
        </w:rPr>
        <w:t> </w:t>
      </w:r>
      <w:r>
        <w:rPr>
          <w:rFonts w:ascii="Times New Roman" w:hAnsi="Times New Roman"/>
          <w:b w:val="false"/>
          <w:i w:val="false"/>
          <w:color w:val="000000"/>
          <w:sz w:val="22"/>
        </w:rPr>
        <w:t>The resident shall be informed of the reason for seclusion and restraint and conditions for release. The resident’s guardian shall be notified when Type II or Type III restraints or seclusion is used. The facility shall also notify the resident’s family or other significant person if the resident has previously signed a form granting consent to do so.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65.15(10)</w:t>
      </w:r>
      <w:r>
        <w:rPr>
          <w:rFonts w:ascii="Times New Roman" w:hAnsi="Times New Roman"/>
          <w:b w:val="false"/>
          <w:i w:val="false"/>
          <w:color w:val="000000"/>
          <w:sz w:val="22"/>
        </w:rPr>
        <w:t> </w:t>
      </w:r>
      <w:r>
        <w:rPr>
          <w:rFonts w:ascii="Times New Roman" w:hAnsi="Times New Roman"/>
          <w:b w:val="false"/>
          <w:i w:val="false"/>
          <w:color w:val="000000"/>
          <w:sz w:val="22"/>
        </w:rPr>
        <w:t>Each resident’s record shall contain all information about restraints or seclusion. The administrator shall maintain a daily record of seclusion use. This record shall be available for review by the department. (II, III)</w:t>
      </w:r>
    </w:p>
    <w:p>
      <w:pPr>
        <w:spacing w:before="0" w:after="0"/>
        <w:ind w:left="120"/>
        <w:jc w:val="both"/>
      </w:pPr>
      <w:r>
        <w:rPr>
          <w:rFonts w:ascii="Times New Roman" w:hAnsi="Times New Roman"/>
          <w:b w:val="false"/>
          <w:i w:val="false"/>
          <w:color w:val="000000"/>
          <w:sz w:val="22"/>
        </w:rPr>
        <w:t>Documentation of each incident of restraint or seclusion shall include at least: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Clinical assessment before the resident is secluded or restrained;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Circumstances that led to seclusion or restraint;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Explanation of less restrictive measures used before restraint or seclusion;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order;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Visual observation of the resident every 15 minutes, or more frequently if needed, to monitor general well-being including respirations, circulation, positioning and alertness as indicated;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resident’s activity at the time of observation to include verbal exchange and behavior;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safety procedures taken (removal of dangerous objects, etc.);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Vital signs, including blood pressure, pulse and respiration unless contraindicated by resident behavior and reasons documented;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Release of each mechanical restraint and exercise and massage every two hours;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Record of intake of food and fluid;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Use of toilet;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Number of hours and minutes in seclusion.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65.15(11)</w:t>
      </w:r>
      <w:r>
        <w:rPr>
          <w:rFonts w:ascii="Times New Roman" w:hAnsi="Times New Roman"/>
          <w:b w:val="false"/>
          <w:i w:val="false"/>
          <w:color w:val="000000"/>
          <w:sz w:val="22"/>
        </w:rPr>
        <w:t> </w:t>
      </w:r>
      <w:r>
        <w:rPr>
          <w:rFonts w:ascii="Times New Roman" w:hAnsi="Times New Roman"/>
          <w:b w:val="false"/>
          <w:i w:val="false"/>
          <w:color w:val="000000"/>
          <w:sz w:val="22"/>
        </w:rPr>
        <w:t>The facility shall educate staff on restraint and seclusion theory and techniques. The training shall be conducted by people with experience and documented education in the appropriate use of restraint and seclusion.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a record of the training for review by the department and shall include attendance.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Only staff who have documented training in restraint and seclusion theory and techniques shall be authorized to assist with seclusion or restraint of a resident.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65.15(12)</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record of the hours and minutes of each type of restraint and seclusion used on a monthly basis.</w:t>
      </w:r>
    </w:p>
    <w:p>
      <w:pPr>
        <w:spacing w:before="0" w:after="0"/>
        <w:ind w:left="120"/>
        <w:jc w:val="both"/>
      </w:pPr>
      <w:r>
        <w:rPr>
          <w:rFonts w:ascii="Times New Roman" w:hAnsi="Times New Roman"/>
          <w:b/>
          <w:i w:val="false"/>
          <w:color w:val="000000"/>
          <w:sz w:val="22"/>
        </w:rPr>
        <w:t>481—65.16</w:t>
      </w:r>
      <w:r>
        <w:rPr>
          <w:rFonts w:ascii="Times New Roman" w:hAnsi="Times New Roman"/>
          <w:b/>
          <w:i w:val="false"/>
          <w:color w:val="000000"/>
          <w:sz w:val="22"/>
        </w:rPr>
        <w:t xml:space="preserve">(135C) </w:t>
      </w:r>
      <w:r>
        <w:rPr>
          <w:rFonts w:ascii="Times New Roman" w:hAnsi="Times New Roman"/>
          <w:b/>
          <w:i w:val="false"/>
          <w:color w:val="000000"/>
          <w:sz w:val="22"/>
        </w:rPr>
        <w:t xml:space="preserve">Discharge or transfer. </w:t>
      </w:r>
      <w:r>
        <w:rPr>
          <w:rFonts w:ascii="Times New Roman" w:hAnsi="Times New Roman"/>
          <w:b w:val="false"/>
          <w:i w:val="false"/>
          <w:color w:val="000000"/>
          <w:sz w:val="22"/>
        </w:rPr>
        <w:t>Procedures for the discharge or transfer of the resident shall be established and followed.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w:t>
      </w:r>
      <w:r>
        <w:rPr>
          <w:rFonts w:ascii="Times New Roman" w:hAnsi="Times New Roman"/>
          <w:b w:val="false"/>
          <w:i w:val="false"/>
          <w:color w:val="000000"/>
          <w:sz w:val="22"/>
        </w:rPr>
        <w:t> </w:t>
      </w:r>
      <w:r>
        <w:rPr>
          <w:rFonts w:ascii="Times New Roman" w:hAnsi="Times New Roman"/>
          <w:b w:val="false"/>
          <w:i/>
          <w:color w:val="000000"/>
          <w:sz w:val="22"/>
        </w:rPr>
        <w:t xml:space="preserve">Discharge plan. </w:t>
      </w:r>
      <w:r>
        <w:rPr>
          <w:rFonts w:ascii="Times New Roman" w:hAnsi="Times New Roman"/>
          <w:b w:val="false"/>
          <w:i w:val="false"/>
          <w:color w:val="000000"/>
          <w:sz w:val="22"/>
        </w:rPr>
        <w:t>The decision to discharge a person and the plan for doing so shall be established through the participation of the resident, members of the interdisciplinary team and other resource personnel as appropriate for the welfare of the individual.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Discharge planning shall begin within 30 days of admission and be carried out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As changes occur in a resident’s physical or mental condition necessitating services or care which cannot be adequately provided by the facility, the resident shall be transferred promptly to another appropriate facility pursuant to subrule </w:t>
      </w:r>
      <w:hyperlink r:id="rId46">
        <w:r>
          <w:rPr>
            <w:rStyle w:val="Hyperlink"/>
            <w:rFonts w:ascii="Times New Roman" w:hAnsi="Times New Roman"/>
            <w:b w:val="false"/>
            <w:i w:val="false"/>
            <w:color w:val="000000"/>
            <w:sz w:val="22"/>
          </w:rPr>
          <w:t>65.10(1)</w:t>
        </w:r>
      </w:hyperlink>
      <w:r>
        <w:rPr>
          <w:rFonts w:ascii="Times New Roman" w:hAnsi="Times New Roman"/>
          <w:b w:val="false"/>
          <w:i w:val="false"/>
          <w:color w:val="000000"/>
          <w:sz w:val="22"/>
        </w:rPr>
        <w: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Notification shall be made to the next of kin, legal representative, attending physician, and sponsoring agency, if any, prior to transfer or discharge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Proper arrangements shall be made for the welfare of the resident prior to the transfer or discharge in the event of an emergency or inability to reach the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licensee shall not refuse to discharge or transfer a resident when directed by the physician, resident, legal representative, or court.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Advanced notification by telephone shall be made to the receiving facility prior to the transfer of any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 resident is transferred or discharged, the current evaluation and treatment plan and progress notes for the last 30 days, as set forth in these rules, shall accompany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Prior to the transfer or discharge of a resident to another health care facility, arrangements to provide for continuity of care shall be made with the facility to which the resident is being sent.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discharge or transfer authorization and summary shall be prepared for each resident who has been discharged or transferred from the facility. It shall be disseminated to appropriate persons to ensure continuity of care and in accordance with the requirements to ensure confidentiality.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r>
        <w:rPr>
          <w:rFonts w:ascii="Times New Roman" w:hAnsi="Times New Roman"/>
          <w:b w:val="false"/>
          <w:i w:val="false"/>
          <w:color w:val="000000"/>
          <w:sz w:val="22"/>
        </w:rPr>
        <w:t>Residents shall not be arbitrarily moved from room to room within a health care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Involuntary relocation may occur only to implement goals and objectives in the IPP and in the following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Incompatibility with or behavior disturbing to roommates, as documented in the residents’ records;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which would otherwise not be possible due to separation of roommates by sex;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legal guardian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Punishment or behavior modification;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r>
        <w:rPr>
          <w:rFonts w:ascii="Times New Roman" w:hAnsi="Times New Roman"/>
          <w:b w:val="false"/>
          <w:i/>
          <w:color w:val="000000"/>
          <w:sz w:val="22"/>
        </w:rPr>
        <w:t>“a,”</w:t>
      </w:r>
      <w:r>
        <w:rPr>
          <w:rFonts w:ascii="Times New Roman" w:hAnsi="Times New Roman"/>
          <w:b w:val="false"/>
          <w:i w:val="false"/>
          <w:color w:val="000000"/>
          <w:sz w:val="22"/>
        </w:rPr>
        <w:t xml:space="preserve"> the resident shall be notified at least 48 hours prior to the transfer and the reason shall be explained. The legal guardian shall be notified as soon as possible. The notification shall be documented in the resident’s record and signed by the resident or legal guardian within seven days unless documentation indicates that it was not possible to contact the legal guardian or obtain their signature.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to protect the safety or health of the resident or other residents, the notification requirements may be waived. The conditions of the emergency shall be documented. The family and legal guardian shall be notified immediately, or as soon as possible, of the condition requiring emergency relocation, and the notification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65.16(3)</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 based on the resident’s needs and determined and documented in the resident’s record by the primary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resident’s social, emotional or physical well-being or that of other residents, as documented by the administrator or designee with specific information to support the determination that the resident’s continued presence in the facility would adversely affect the resident’s own well-being or that of other residents;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47">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admission agreement for the resident’s stay.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65.16(4)</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discharge—written notice. </w:t>
      </w:r>
      <w:r>
        <w:rPr>
          <w:rFonts w:ascii="Times New Roman" w:hAnsi="Times New Roman"/>
          <w:b w:val="false"/>
          <w:i w:val="false"/>
          <w:color w:val="000000"/>
          <w:sz w:val="22"/>
        </w:rPr>
        <w:t>Involuntary transfer or discharge of a resident from a facility shall be preceded by a written notice to the resident or the resident’s legal representative.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notice shall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3525"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In emergency circumstances, provision may be made for extension of the 14-day requirement upon request to the department designee. If you lose the hearing, you will not be transferred before the expiration date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you may write to the department to the attention of: Administrator, Division of Health Facilities, Iowa Department of Inspections and Appeals, Lucas State Office Building, Des Moines, Iowa 50319.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48">
        <w:r>
          <w:rPr>
            <w:rStyle w:val="Hyperlink"/>
            <w:rFonts w:ascii="Times New Roman" w:hAnsi="Times New Roman"/>
            <w:b w:val="false"/>
            <w:i w:val="false"/>
            <w:color w:val="000000"/>
            <w:sz w:val="22"/>
          </w:rPr>
          <w:t>65.16(4)</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legal representative, and notification is given to the legal representative, the resident’s primary care provider,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49">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65.16(5)</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this notice must be placed in the resident’s file. The notice must contain all of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w:t>
      </w:r>
    </w:p>
    <w:tbl>
      <w:tblPr>
        <w:tblW w:w="0" w:type="auto"/>
        <w:tblCellSpacing w:w="0" w:type="auto"/>
        <w:tblBorders>
          <w:top w:val="none"/>
          <w:left w:val="none"/>
          <w:bottom w:val="none"/>
          <w:right w:val="none"/>
          <w:insideH w:val="none"/>
          <w:insideV w:val="none"/>
        </w:tblBorders>
        <w:tblLayout w:type="fixed"/>
      </w:tblPr>
      <w:tblGrid>
        <w:gridCol w:w="11190"/>
      </w:tblGrid>
      <w:tr>
        <w:trPr>
          <w:trHeight w:val="2820" w:hRule="atLeast"/>
        </w:trPr>
        <w:tc>
          <w:tcPr>
            <w:tcW w:w="11190" w:type="dxa"/>
            <w:tcBorders/>
            <w:tcMar>
              <w:top w:w="30" w:type="dxa"/>
              <w:left w:w="30" w:type="dxa"/>
              <w:bottom w:w="15" w:type="dxa"/>
              <w:right w:w="30" w:type="dxa"/>
            </w:tcMar>
            <w:vAlign w:val="center"/>
          </w:tcPr>
          <w:p>
            <w:pPr>
              <w:spacing w:before="0" w:after="0"/>
              <w:ind w:left="0"/>
              <w:jc w:val="both"/>
            </w:pPr>
            <w:r>
              <w:rPr>
                <w:rFonts w:ascii="Times New Roman" w:hAnsi="Times New Roman"/>
                <w:b w:val="false"/>
                <w:i w:val="false"/>
                <w:color w:val="000000"/>
                <w:sz w:val="21"/>
              </w:rPr>
              <w:t>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(II)</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legal representative,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50">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65.16(6)</w:t>
      </w:r>
      <w:r>
        <w:rPr>
          <w:rFonts w:ascii="Times New Roman" w:hAnsi="Times New Roman"/>
          <w:b w:val="false"/>
          <w:i w:val="false"/>
          <w:color w:val="000000"/>
          <w:sz w:val="22"/>
        </w:rPr>
        <w:t> </w:t>
      </w:r>
      <w:r>
        <w:rPr>
          <w:rFonts w:ascii="Times New Roman" w:hAnsi="Times New Roman"/>
          <w:b w:val="false"/>
          <w:i/>
          <w:color w:val="000000"/>
          <w:sz w:val="22"/>
        </w:rPr>
        <w:t xml:space="preserve">Involuntary transfer or discharge—hearing.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receiving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481—Chapter 9</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resident’s legal representative not later than five full business days after the department’s receipt of the request. The notice shall also inform the facility and the resident or the resident’s legal representative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resident’s legal representative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65.16(7)</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65.16(8)</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legal representative,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53">
        <w:r>
          <w:rPr>
            <w:rStyle w:val="Hyperlink"/>
            <w:rFonts w:ascii="Times New Roman" w:hAnsi="Times New Roman"/>
            <w:b w:val="false"/>
            <w:i w:val="false"/>
            <w:color w:val="000000"/>
            <w:sz w:val="22"/>
          </w:rPr>
          <w:t>65.16(6)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65.16(9)</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54">
        <w:r>
          <w:rPr>
            <w:rStyle w:val="Hyperlink"/>
            <w:rFonts w:ascii="Times New Roman" w:hAnsi="Times New Roman"/>
            <w:b w:val="false"/>
            <w:i w:val="false"/>
            <w:color w:val="000000"/>
            <w:sz w:val="22"/>
          </w:rPr>
          <w:t>65.16(9)</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55">
        <w:r>
          <w:rPr>
            <w:rStyle w:val="Hyperlink"/>
            <w:rFonts w:ascii="Times New Roman" w:hAnsi="Times New Roman"/>
            <w:b w:val="false"/>
            <w:i w:val="false"/>
            <w:color w:val="000000"/>
            <w:sz w:val="22"/>
          </w:rPr>
          <w:t>65.16(5)</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56">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65.16(10)</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7">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481—65.17</w:t>
      </w:r>
      <w:r>
        <w:rPr>
          <w:rFonts w:ascii="Times New Roman" w:hAnsi="Times New Roman"/>
          <w:b/>
          <w:i w:val="false"/>
          <w:color w:val="000000"/>
          <w:sz w:val="22"/>
        </w:rPr>
        <w:t xml:space="preserve">(135C) </w:t>
      </w:r>
      <w:r>
        <w:rPr>
          <w:rFonts w:ascii="Times New Roman" w:hAnsi="Times New Roman"/>
          <w:b/>
          <w:i w:val="false"/>
          <w:color w:val="000000"/>
          <w:sz w:val="22"/>
        </w:rPr>
        <w:t xml:space="preserve">Medication management. </w:t>
      </w:r>
      <w:r>
        <w:rPr>
          <w:rFonts w:ascii="Times New Roman" w:hAnsi="Times New Roman"/>
          <w:b w:val="false"/>
          <w:i w:val="false"/>
          <w:color w:val="000000"/>
          <w:sz w:val="22"/>
        </w:rPr>
        <w:t>Medications shall be prescribed on an individual basis by a person who is authorized by Iowa law to prescribe. (I, II)</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Medication orders shall be correctly implemented by qualified personnel. (II)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Qualified staff shall ensure that residents are able to take their own medication. (I, 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Each physician order allowing a resident to self-administer medications shall specify whether this self-medication shall be without supervision or under the supervision of qualified staff as defined in </w:t>
      </w:r>
      <w:hyperlink r:id="rId58">
        <w:r>
          <w:rPr>
            <w:rStyle w:val="Hyperlink"/>
            <w:rFonts w:ascii="Times New Roman" w:hAnsi="Times New Roman"/>
            <w:b w:val="false"/>
            <w:i w:val="false"/>
            <w:color w:val="000000"/>
            <w:sz w:val="22"/>
          </w:rPr>
          <w:t>65.17(2)</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65.17(1)</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Prior to taking a department-approved medication aide course, the individual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an approved nurse aide course, nurse aide training and testing program or nurse aide competency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employed in the same facility for at least six consecutive months prior to the start of the medication aide course. This requirement is not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a letter of recommendation for admission to the medication aide course from the employing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ind w:left="120"/>
        <w:jc w:val="both"/>
      </w:pPr>
      <w:r>
        <w:rPr>
          <w:rFonts w:ascii="Times New Roman" w:hAnsi="Times New Roman"/>
          <w:b w:val="false"/>
          <w:i w:val="false"/>
          <w:color w:val="000000"/>
          <w:sz w:val="22"/>
        </w:rPr>
        <w:t xml:space="preserve">The requirements of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 do not apply to this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Unit dose medication shall remain in the identifiable unit dose package until given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Medications that are not contained in unit dose packaging shall be set up, identified by resident name and medication name, and administered by the same person. The medications shall be administered within one hour of preparation.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person administering medications must observe and check to make sure the resident swallows oral medications and must record the date, time, amount and name of each medication given.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Injectable medications shall be administered as permitted by Iowa law by a qualified nurse, physician, pharmacist, or physician associate (PA). In the case of a resident who has been certified by the resident’s physician or physician associate (PA) as capable of taking the resident’s own insulin, the resident may prepare and inject the resident’s own insulin.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Current and accurate records must be kept on the receipt and disposition of all Schedule II drugs.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65.17(2)</w:t>
      </w:r>
      <w:r>
        <w:rPr>
          <w:rFonts w:ascii="Times New Roman" w:hAnsi="Times New Roman"/>
          <w:b w:val="false"/>
          <w:i w:val="false"/>
          <w:color w:val="000000"/>
          <w:sz w:val="22"/>
        </w:rPr>
        <w:t> </w:t>
      </w:r>
      <w:r>
        <w:rPr>
          <w:rFonts w:ascii="Times New Roman" w:hAnsi="Times New Roman"/>
          <w:b w:val="false"/>
          <w:i w:val="false"/>
          <w:color w:val="000000"/>
          <w:sz w:val="22"/>
        </w:rPr>
        <w:t>For each resident who is taking medication with or without supervision, there shall be documentation on the individual’s record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Name of drug, dose, and schedule;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Identified drug allergies and observed adverse reactions; (I,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Special precautions for that resident; (I,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Documentation of resident’s continuing ability to administer own medication.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65.17(3)</w:t>
      </w:r>
      <w:r>
        <w:rPr>
          <w:rFonts w:ascii="Times New Roman" w:hAnsi="Times New Roman"/>
          <w:b w:val="false"/>
          <w:i w:val="false"/>
          <w:color w:val="000000"/>
          <w:sz w:val="22"/>
        </w:rPr>
        <w:t> </w:t>
      </w:r>
      <w:r>
        <w:rPr>
          <w:rFonts w:ascii="Times New Roman" w:hAnsi="Times New Roman"/>
          <w:b w:val="false"/>
          <w:i w:val="false"/>
          <w:color w:val="000000"/>
          <w:sz w:val="22"/>
        </w:rPr>
        <w:t xml:space="preserve">Medication counseling shall be provided for all residents in accordance with the IPP on an ongoing basis and as part of discharge planning unless contraindicated in writing by the physician with reasons and pursuant to </w:t>
      </w:r>
      <w:hyperlink r:id="rId59">
        <w:r>
          <w:rPr>
            <w:rStyle w:val="Hyperlink"/>
            <w:rFonts w:ascii="Times New Roman" w:hAnsi="Times New Roman"/>
            <w:b w:val="false"/>
            <w:i w:val="false"/>
            <w:color w:val="000000"/>
            <w:sz w:val="22"/>
          </w:rPr>
          <w:t>65.12(2)</w:t>
        </w:r>
      </w:hyperlink>
      <w:r>
        <w:rPr>
          <w:rFonts w:ascii="Times New Roman" w:hAnsi="Times New Roman"/>
          <w:b w:val="false"/>
          <w:i/>
          <w:color w:val="000000"/>
          <w:sz w:val="22"/>
        </w:rPr>
        <w:t>“c.”</w:t>
      </w:r>
      <w:r>
        <w:rPr>
          <w:rFonts w:ascii="Times New Roman" w:hAnsi="Times New Roman"/>
          <w:b w:val="false"/>
          <w:i w:val="false"/>
          <w:color w:val="000000"/>
          <w:sz w:val="22"/>
        </w:rPr>
        <w:t xml:space="preserve"> (II, III)</w:t>
      </w:r>
    </w:p>
    <w:p>
      <w:pPr>
        <w:spacing w:before="0" w:after="0"/>
        <w:ind w:left="120"/>
        <w:jc w:val="both"/>
      </w:pPr>
      <w:r>
        <w:rPr>
          <w:rFonts w:ascii="Times New Roman" w:hAnsi="Times New Roman"/>
          <w:b w:val="false"/>
          <w:i w:val="false"/>
          <w:color w:val="000000"/>
          <w:sz w:val="22"/>
        </w:rPr>
        <w:t>Each resident and when appropriate, a family member or other identified caregiver, shall be given verbal and written information about all medications the resident is currently using, including over-the-counter medications. A suggested reference is “USPDI, Advice for the Patient.” (II, III)</w:t>
      </w:r>
    </w:p>
    <w:p>
      <w:pPr>
        <w:spacing w:before="0" w:after="0"/>
        <w:ind w:left="120"/>
        <w:jc w:val="both"/>
      </w:pPr>
      <w:r>
        <w:rPr>
          <w:rFonts w:ascii="Times New Roman" w:hAnsi="Times New Roman"/>
          <w:b w:val="false"/>
          <w:i w:val="false"/>
          <w:color w:val="000000"/>
          <w:sz w:val="22"/>
        </w:rPr>
        <w:t>The information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reason for, and amount of medication to be taken;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medication is to be taken and reason that the schedule was established;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Possible benefits, risks and side effects of each medication, including over-the-counter medications;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list of resources in the community qualified to answer questions about medications;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list of available resources or agencies which may assist the resident to obtain medication after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65.17(4)</w:t>
      </w:r>
      <w:r>
        <w:rPr>
          <w:rFonts w:ascii="Times New Roman" w:hAnsi="Times New Roman"/>
          <w:b w:val="false"/>
          <w:i w:val="false"/>
          <w:color w:val="000000"/>
          <w:sz w:val="22"/>
        </w:rPr>
        <w:t> </w:t>
      </w:r>
      <w:r>
        <w:rPr>
          <w:rFonts w:ascii="Times New Roman" w:hAnsi="Times New Roman"/>
          <w:b w:val="false"/>
          <w:i w:val="false"/>
          <w:color w:val="000000"/>
          <w:sz w:val="22"/>
        </w:rPr>
        <w:t>Residents who have been certified in writing by the physician as capable of taking their own medications may retain these medications in a secure centralized location. Individual locked storage shall be utilized.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Drug storage for residents who are unable to take their own medications and require supervision shall meet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Adequate size cabinet with lock which can be used for storage of drugs, solutions, and prescriptions. A locked drug cart may be used.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bathroom shall not be used for drug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shall be kept locked when not in use.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drug storage cabinet key shall be in the possession of the employee charged with the responsibility of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Medications requiring refrigeration which are stored in a common refrigerator shall be kept in a locked box properly labeled, and separated from food and other items.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Drugs for external use shall be stored separately from drugs for internal use. External medications are those to be applied to the outside of the body and include, but are not limited to, salves, ointments, gels, paste, soaps, baths, and lotions. Internal medications are those to be applied inside the body or ingested and include, but are not limited to, oral and injectable medications, eye drops and ointments, ear drops and ointments, and suppositories. Also, eye drops and ear drops shall be separated from each other as well as from other internal and external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All potent, poisonous, or caustic materials shall be stored in a separate room from the medications.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Inspection of the condition of stored drugs shall be made by the administrator and a licensed pharmacist not less than once every three months. The inspection shall be verified by a report signed by the administrator and the pharmacist and filed with the administrator. The report shall include, but need not be limited to, certifying absence of the following: expired drugs, deteriorated drugs, improper labeling, drugs for which there is no current order, and drugs improperly stored.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Double-locked storage of Schedule II drugs shall not be required under single unit package drug distribution systems in which the quantity stored does not exceed a seven-day supply and a missing dose can be readily detected but must be kept in a locked medication cabinet. Quantities in excess of a seven-day supply must be double-locked.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Bulk supplies of prescription drugs shall not be kept.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65.17(5)</w:t>
      </w:r>
      <w:r>
        <w:rPr>
          <w:rFonts w:ascii="Times New Roman" w:hAnsi="Times New Roman"/>
          <w:b w:val="false"/>
          <w:i w:val="false"/>
          <w:color w:val="000000"/>
          <w:sz w:val="22"/>
        </w:rPr>
        <w:t> </w:t>
      </w:r>
      <w:r>
        <w:rPr>
          <w:rFonts w:ascii="Times New Roman" w:hAnsi="Times New Roman"/>
          <w:b w:val="false"/>
          <w:i w:val="false"/>
          <w:color w:val="000000"/>
          <w:sz w:val="22"/>
        </w:rPr>
        <w:t xml:space="preserve">All labels on medications must be legible. If labels are not legible, the medication shall be sent back to the dispenser as defined in Iowa Code section </w:t>
      </w:r>
      <w:hyperlink r:id="rId60">
        <w:r>
          <w:rPr>
            <w:rStyle w:val="Hyperlink"/>
            <w:rFonts w:ascii="Times New Roman" w:hAnsi="Times New Roman"/>
            <w:b w:val="false"/>
            <w:i w:val="false"/>
            <w:color w:val="000000"/>
            <w:sz w:val="22"/>
          </w:rPr>
          <w:t>147.107</w:t>
        </w:r>
      </w:hyperlink>
      <w:r>
        <w:rPr>
          <w:rFonts w:ascii="Times New Roman" w:hAnsi="Times New Roman"/>
          <w:b w:val="false"/>
          <w:i w:val="false"/>
          <w:color w:val="000000"/>
          <w:sz w:val="22"/>
        </w:rPr>
        <w:t xml:space="preserve"> for relabeling.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medication for each resident shall be kept or stored in the original dispensed containers.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to destroy unused prescription drugs for residents who die. The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Drugs shall be destroyed by the person in charge in the presence of the administrator or the administrator’s designee or, if a unit dose system is used, the drugs shall be returned to the supplying pharmacist;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Notation of the destruction shall be made in the resident’s chart, with signatures of the persons involved in the destruction;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are disposed of shall be identified (i.e., incinerator, sewer, landfill).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facility shall also adopt policies and procedures for the disposal of controlled substances as defined by the Iowa board of pharmacy dispensed to residents whose administration has been discontinued by the prescriber. These policies and procedures shall include,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a release from the resident;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manner in which the drugs were destroyed and by whom, including witnesses to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Mechanisms for recording the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or the conservator or guardian refuses to grant permission for destruction.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facility shall adopt policies and procedures for the disposal of unused, discontinued medication. The procedures shall include, but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specified time after which medication must be destroyed, sent back to the dispenser or placed in long-term storage;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Procedures for obtaining permission of the resident, or the conservator or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Procedures to be used when the resident, conservator or guardian refuses to grant permission for disposal;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Unused, discontinued medication shall be locked and shall be separate from current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Residents shall not keep any prescription or over-the-counter medication in their possession unless the resident has been determined to be capable of self-administration of medications.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No prescription drugs shall be administered to a resident without a written order signed by a person qualified to prescribe the medication and renewed quarterly.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Prescription drugs shall be reordered only with the permission of the attending prescriber.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No medications prescribed for one resident may be administered to or allowed in the possession of another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65.17(6)</w:t>
      </w:r>
      <w:r>
        <w:rPr>
          <w:rFonts w:ascii="Times New Roman" w:hAnsi="Times New Roman"/>
          <w:b w:val="false"/>
          <w:i w:val="false"/>
          <w:color w:val="000000"/>
          <w:sz w:val="22"/>
        </w:rPr>
        <w:t> </w:t>
      </w:r>
      <w:r>
        <w:rPr>
          <w:rFonts w:ascii="Times New Roman" w:hAnsi="Times New Roman"/>
          <w:b w:val="false"/>
          <w:i w:val="false"/>
          <w:color w:val="000000"/>
          <w:sz w:val="22"/>
        </w:rPr>
        <w:t>Each facility shall establish policies and procedures to govern the administration of prescribed medications to residents on leave from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Medication may be issued to residents who will be on leave from a facility for less than 24 hours. Non-child-resistant containers may be used. Each container may hold only one medication. A label on each container shall indicate the date, the resident’s name, the facility, the medication, its strength, dose, and time of administration.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Medication for residents on leave from a facility longer than 24 hours shall be obtained in accordance with requirements established by the Iowa board of pharmacy examiners.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Medication distributed as described in this subrule may be issued only by facility personnel responsible for administering medication.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65.17(7)</w:t>
      </w:r>
      <w:r>
        <w:rPr>
          <w:rFonts w:ascii="Times New Roman" w:hAnsi="Times New Roman"/>
          <w:b w:val="false"/>
          <w:i w:val="false"/>
          <w:color w:val="000000"/>
          <w:sz w:val="22"/>
        </w:rPr>
        <w:t> </w:t>
      </w:r>
      <w:r>
        <w:rPr>
          <w:rFonts w:ascii="Times New Roman" w:hAnsi="Times New Roman"/>
          <w:b w:val="false"/>
          <w:i w:val="false"/>
          <w:color w:val="000000"/>
          <w:sz w:val="22"/>
        </w:rPr>
        <w:t xml:space="preserve">Each ICF/PMI that administers controlled substances shall annually obtain a registration from the Iowa board of pharmacy examiners pursuant to Iowa Code section </w:t>
      </w:r>
      <w:hyperlink r:id="rId61">
        <w:r>
          <w:rPr>
            <w:rStyle w:val="Hyperlink"/>
            <w:rFonts w:ascii="Times New Roman" w:hAnsi="Times New Roman"/>
            <w:b w:val="false"/>
            <w:i w:val="false"/>
            <w:color w:val="000000"/>
            <w:sz w:val="22"/>
          </w:rPr>
          <w:t>204.302(1)</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2">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1050C</w:t>
      </w:r>
      <w:r>
        <w:rPr>
          <w:rFonts w:ascii="Times New Roman" w:hAnsi="Times New Roman"/>
          <w:b w:val="false"/>
          <w:i w:val="false"/>
          <w:color w:val="000000"/>
          <w:sz w:val="16"/>
        </w:rPr>
        <w:t>, IAB 10/2/13, effective 11/6/13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481—65.18</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 property and personal affairs. </w:t>
      </w:r>
      <w:r>
        <w:rPr>
          <w:rFonts w:ascii="Times New Roman" w:hAnsi="Times New Roman"/>
          <w:b w:val="false"/>
          <w:i w:val="false"/>
          <w:color w:val="000000"/>
          <w:sz w:val="22"/>
        </w:rPr>
        <w:t>The admission of a resident does not give the facility or any employee of the facility the right to manage, use, or dispose of any property of the resident except with the written authorization of the resident or the resident’s legal guardian.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65.18(1)</w:t>
      </w:r>
      <w:r>
        <w:rPr>
          <w:rFonts w:ascii="Times New Roman" w:hAnsi="Times New Roman"/>
          <w:b w:val="false"/>
          <w:i w:val="false"/>
          <w:color w:val="000000"/>
          <w:sz w:val="22"/>
        </w:rPr>
        <w:t> </w:t>
      </w:r>
      <w:r>
        <w:rPr>
          <w:rFonts w:ascii="Times New Roman" w:hAnsi="Times New Roman"/>
          <w:b w:val="false"/>
          <w:i w:val="false"/>
          <w:color w:val="000000"/>
          <w:sz w:val="22"/>
        </w:rPr>
        <w:t>The admission of a resident shall not grant the ICF/PMI the authority or responsibility to manage the personal affairs of the resident except as may be necessary for the resident’s safety and for safe and orderly management of the facility as required by these rules and in accordance with the IPP.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65.18(2)</w:t>
      </w:r>
      <w:r>
        <w:rPr>
          <w:rFonts w:ascii="Times New Roman" w:hAnsi="Times New Roman"/>
          <w:b w:val="false"/>
          <w:i w:val="false"/>
          <w:color w:val="000000"/>
          <w:sz w:val="22"/>
        </w:rPr>
        <w:t> </w:t>
      </w:r>
      <w:r>
        <w:rPr>
          <w:rFonts w:ascii="Times New Roman" w:hAnsi="Times New Roman"/>
          <w:b w:val="false"/>
          <w:i w:val="false"/>
          <w:color w:val="000000"/>
          <w:sz w:val="22"/>
        </w:rPr>
        <w:t>An ICF/PMI shall provide for the safekeeping of personal effects, funds, and other property of its residents. The facility may require that items of exceptional value or which would convey unreasonable responsibilities to the licensee be removed from the premises of the facility for safekeeping.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65.18(3)</w:t>
      </w:r>
      <w:r>
        <w:rPr>
          <w:rFonts w:ascii="Times New Roman" w:hAnsi="Times New Roman"/>
          <w:b w:val="false"/>
          <w:i w:val="false"/>
          <w:color w:val="000000"/>
          <w:sz w:val="22"/>
        </w:rPr>
        <w:t> </w:t>
      </w:r>
      <w:r>
        <w:rPr>
          <w:rFonts w:ascii="Times New Roman" w:hAnsi="Times New Roman"/>
          <w:b w:val="false"/>
          <w:i w:val="false"/>
          <w:color w:val="000000"/>
          <w:sz w:val="22"/>
        </w:rPr>
        <w:t>Residents’ funds held by the ICF/PMI shall be in a trust account and kept separate from funds of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65.18(4)</w:t>
      </w:r>
      <w:r>
        <w:rPr>
          <w:rFonts w:ascii="Times New Roman" w:hAnsi="Times New Roman"/>
          <w:b w:val="false"/>
          <w:i w:val="false"/>
          <w:color w:val="000000"/>
          <w:sz w:val="22"/>
        </w:rPr>
        <w:t> </w:t>
      </w:r>
      <w:r>
        <w:rPr>
          <w:rFonts w:ascii="Times New Roman" w:hAnsi="Times New Roman"/>
          <w:b w:val="false"/>
          <w:i w:val="false"/>
          <w:color w:val="000000"/>
          <w:sz w:val="22"/>
        </w:rPr>
        <w:t>No administrator, employee or their representative shall act as guardian, trustee, or conservator for any resident or the resident’s property, unless the resident is related to the person acting as guardian within the third degree of consanguinity.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65.18(5)</w:t>
      </w:r>
      <w:r>
        <w:rPr>
          <w:rFonts w:ascii="Times New Roman" w:hAnsi="Times New Roman"/>
          <w:b w:val="false"/>
          <w:i w:val="false"/>
          <w:color w:val="000000"/>
          <w:sz w:val="22"/>
        </w:rPr>
        <w:t> </w:t>
      </w:r>
      <w:r>
        <w:rPr>
          <w:rFonts w:ascii="Times New Roman" w:hAnsi="Times New Roman"/>
          <w:b w:val="false"/>
          <w:i w:val="false"/>
          <w:color w:val="000000"/>
          <w:sz w:val="22"/>
        </w:rPr>
        <w:t>If a facility is a county care facility, upon the verified petition of the county board of supervisors, the district court may appoint, without fee, the administrator of a county care facility as conservator or guardian, or both, of a resident of such a county care facility. The administrator may establish either separate or common bank accounts for cash funds of these residents.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3">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481—65.19</w:t>
      </w:r>
      <w:r>
        <w:rPr>
          <w:rFonts w:ascii="Times New Roman" w:hAnsi="Times New Roman"/>
          <w:b/>
          <w:i w:val="false"/>
          <w:color w:val="000000"/>
          <w:sz w:val="22"/>
        </w:rPr>
        <w:t xml:space="preserve">(135C) </w:t>
      </w:r>
      <w:r>
        <w:rPr>
          <w:rFonts w:ascii="Times New Roman" w:hAnsi="Times New Roman"/>
          <w:b/>
          <w:i w:val="false"/>
          <w:color w:val="000000"/>
          <w:sz w:val="22"/>
        </w:rPr>
        <w:t xml:space="preserve">Financial affairs. </w:t>
      </w:r>
      <w:r>
        <w:rPr>
          <w:rFonts w:ascii="Times New Roman" w:hAnsi="Times New Roman"/>
          <w:b w:val="false"/>
          <w:i w:val="false"/>
          <w:color w:val="000000"/>
          <w:sz w:val="22"/>
        </w:rPr>
        <w:t xml:space="preserve">Residents who have not been assigned a guardian or conservator by the court may manage their personal financial affairs, and to the extent, under written authorization by the residents that the facility assists in management, the management shall be carried out in accordance with Iowa Code section </w:t>
      </w:r>
      <w:hyperlink r:id="rId64">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65.19(1)</w:t>
      </w:r>
      <w:r>
        <w:rPr>
          <w:rFonts w:ascii="Times New Roman" w:hAnsi="Times New Roman"/>
          <w:b w:val="false"/>
          <w:i w:val="false"/>
          <w:color w:val="000000"/>
          <w:sz w:val="22"/>
        </w:rPr>
        <w:t> </w:t>
      </w:r>
      <w:r>
        <w:rPr>
          <w:rFonts w:ascii="Times New Roman" w:hAnsi="Times New Roman"/>
          <w:b w:val="false"/>
          <w:i/>
          <w:color w:val="000000"/>
          <w:sz w:val="22"/>
        </w:rPr>
        <w:t xml:space="preserve">Written account of resident funds. </w:t>
      </w:r>
      <w:r>
        <w:rPr>
          <w:rFonts w:ascii="Times New Roman" w:hAnsi="Times New Roman"/>
          <w:b w:val="false"/>
          <w:i w:val="false"/>
          <w:color w:val="000000"/>
          <w:sz w:val="22"/>
        </w:rPr>
        <w:t>The facility shall maintain a written account of all residents’ funds received by or deposited with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shall be designated in writing to be responsible for resident accounts.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keep on deposit personal funds over which the resident has control when requested by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resident requests these funds, they shall be given to the resident with a receipt maintained by the facility and a copy to the resident. If a conservator or guardian has been appointed for the resident, the conservator or guardian shall designate the method of disbursing the resident’s funds.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facility makes a financial transaction on a resident’s behalf, the resident or the resident’s legal guardian or conservator must receive or acknowledge having seen an itemized accounting of disbursements and current balances at least quarterly. A copy of this statement shall be maintained in the resident’s financial or business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65.19(2)</w:t>
      </w:r>
      <w:r>
        <w:rPr>
          <w:rFonts w:ascii="Times New Roman" w:hAnsi="Times New Roman"/>
          <w:b w:val="false"/>
          <w:i w:val="false"/>
          <w:color w:val="000000"/>
          <w:sz w:val="22"/>
        </w:rPr>
        <w:t> </w:t>
      </w:r>
      <w:r>
        <w:rPr>
          <w:rFonts w:ascii="Times New Roman" w:hAnsi="Times New Roman"/>
          <w:b w:val="false"/>
          <w:i/>
          <w:color w:val="000000"/>
          <w:sz w:val="22"/>
        </w:rPr>
        <w:t xml:space="preserve">Contracts. </w:t>
      </w:r>
      <w:r>
        <w:rPr>
          <w:rFonts w:ascii="Times New Roman" w:hAnsi="Times New Roman"/>
          <w:b w:val="false"/>
          <w:i w:val="false"/>
          <w:color w:val="000000"/>
          <w:sz w:val="22"/>
        </w:rPr>
        <w:t>There shall be a written contract between the facility and each resident which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States the base rate or scale per day or per month, the services included, and the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Contains a complete schedule of all offered services for which a fee may be charged in addition to the base rate;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Stipulates that no further additional fees shall be charged for items not contained in complete schedule of services listed in this subrule;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States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Contains an explanation of the method of assessment of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States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Contains an itemized list of those services, with the specific fee the resident will be charged and method of payment, as related to the resident’s current condition, based on the program assessment at the time of admission,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Includes the total fee to be charged initially to the specific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States the conditions whereby the facility may make adjustments to its overall fees for residential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and responsible party, when appropriate, of changes in the overall rates of both base and additional charges at least 30 days prior to the effective date of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and payer, when appropriate, of changes in additional charges based on a change in the resident’s condition. Notification must occur prior to the date the revised additional charges begin. If notification is given orally, subsequent written notification must also be given within a reasonable time, not to exceed one week, listing specifically the adjustments made;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terms of agreement in regard to refund of all advance payments, in the event of transfer, death, or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States the terms of agreement concerning holding and charging for a bed in the event of temporary absence of the resident, which terms shall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medical treatment, the facility shall hold the bed open and shall receive payment for the absent period in accordance with provisions of the contract between the resident or the legal guardian and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in accordance with the IPP, the facility shall ask the resident and payer if they wish the bed held open. This shall be documented in the resident’s record including the response. The bed shall be held open and the facility shall receive payment for the absent periods in accordance with the provisions of the contract between the resident or the legal guardian and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States the conditions under which the involuntary discharge or transfer of a resident would be affected;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States the conditions of voluntary discharge or transfer;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Sets forth any other matters deemed appropriate by the parties to the contract. No contract or any provision shall be drawn or construed so as to relieve any health care facility of any requirement or obligation imposed upon it by this chapter or any standards or rules in force pursuant to this chapter.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65.19(3)</w:t>
      </w:r>
      <w:r>
        <w:rPr>
          <w:rFonts w:ascii="Times New Roman" w:hAnsi="Times New Roman"/>
          <w:b w:val="false"/>
          <w:i w:val="false"/>
          <w:color w:val="000000"/>
          <w:sz w:val="22"/>
        </w:rPr>
        <w:t> </w:t>
      </w:r>
      <w:r>
        <w:rPr>
          <w:rFonts w:ascii="Times New Roman" w:hAnsi="Times New Roman"/>
          <w:b w:val="false"/>
          <w:i/>
          <w:color w:val="000000"/>
          <w:sz w:val="22"/>
        </w:rPr>
        <w:t xml:space="preserve">Contract—copy to party. </w:t>
      </w:r>
      <w:r>
        <w:rPr>
          <w:rFonts w:ascii="Times New Roman" w:hAnsi="Times New Roman"/>
          <w:b w:val="false"/>
          <w:i w:val="false"/>
          <w:color w:val="000000"/>
          <w:sz w:val="22"/>
        </w:rPr>
        <w:t>Each party shall receive a copy of the signed contract.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65.19(4)</w:t>
      </w:r>
      <w:r>
        <w:rPr>
          <w:rFonts w:ascii="Times New Roman" w:hAnsi="Times New Roman"/>
          <w:b w:val="false"/>
          <w:i w:val="false"/>
          <w:color w:val="000000"/>
          <w:sz w:val="22"/>
        </w:rPr>
        <w:t> </w:t>
      </w:r>
      <w:r>
        <w:rPr>
          <w:rFonts w:ascii="Times New Roman" w:hAnsi="Times New Roman"/>
          <w:b w:val="false"/>
          <w:i w:val="false"/>
          <w:color w:val="000000"/>
          <w:sz w:val="22"/>
        </w:rPr>
        <w:t>The contract shall state the terms of agreement concerning the holding and charging for a bed when a resident is hospitalized or leaves the facility temporarily for recreational or therapeutic reasons. The terms shall contain a provision that the bed will be held at the request of the resident or the resident’s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ask the resident or legal representative if they want the bed held. This request shall be made before the resident leaves or within 48 hours after the resident leaves. The inquiry and the response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reserve the bed when requested for as long as payments are made in accordance with the contract. (II)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5">
        <w:r>
          <w:rPr>
            <w:rStyle w:val="Hyperlink"/>
            <w:rFonts w:ascii="Times New Roman" w:hAnsi="Times New Roman"/>
            <w:b w:val="false"/>
            <w:i w:val="false"/>
            <w:color w:val="000000"/>
            <w:sz w:val="22"/>
          </w:rPr>
          <w:t>135C.23(1)</w:t>
        </w:r>
      </w:hyperlink>
      <w:r>
        <w:rPr>
          <w:rFonts w:ascii="Times New Roman" w:hAnsi="Times New Roman"/>
          <w:b w:val="false"/>
          <w:i w:val="false"/>
          <w:color w:val="000000"/>
          <w:sz w:val="22"/>
        </w:rPr>
        <w:t xml:space="preserve"> and </w:t>
      </w:r>
      <w:hyperlink r:id="rId6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481—65.20</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Pharmacy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Results of evaluation pursuant to rule </w:t>
      </w:r>
      <w:hyperlink r:id="rId67">
        <w:r>
          <w:rPr>
            <w:rStyle w:val="Hyperlink"/>
            <w:rFonts w:ascii="Times New Roman" w:hAnsi="Times New Roman"/>
            <w:b w:val="false"/>
            <w:i w:val="false"/>
            <w:color w:val="000000"/>
            <w:sz w:val="22"/>
          </w:rPr>
          <w:t>481—65.11</w:t>
        </w:r>
      </w:hyperlink>
      <w:r>
        <w:rPr>
          <w:rFonts w:ascii="Times New Roman" w:hAnsi="Times New Roman"/>
          <w:b w:val="false"/>
          <w:i w:val="false"/>
          <w:color w:val="000000"/>
          <w:sz w:val="22"/>
        </w:rPr>
        <w:t>(135C);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Certification by the physician that the resident requires no higher level of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Physician’s orders for medication and treatments in writing, signed by the physician quarterly and diet orders renewed yearly;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notation of yearly or other visits to physician or other professionals, all consultation reports and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legal representative, or facility in the event of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Disposition of personal property;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 xml:space="preserve">Copy of IPP pursuant to subrule </w:t>
      </w:r>
      <w:hyperlink r:id="rId68">
        <w:r>
          <w:rPr>
            <w:rStyle w:val="Hyperlink"/>
            <w:rFonts w:ascii="Times New Roman" w:hAnsi="Times New Roman"/>
            <w:b w:val="false"/>
            <w:i w:val="false"/>
            <w:color w:val="000000"/>
            <w:sz w:val="22"/>
          </w:rPr>
          <w:t>65.12(1)</w:t>
        </w:r>
      </w:hyperlink>
      <w:r>
        <w:rPr>
          <w:rFonts w:ascii="Times New Roman" w:hAnsi="Times New Roman"/>
          <w:b w:val="false"/>
          <w:i w:val="false"/>
          <w:color w:val="000000"/>
          <w:sz w:val="22"/>
        </w:rPr>
        <w:t>;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 xml:space="preserve">Progress notes pursuant to subrules </w:t>
      </w:r>
      <w:hyperlink r:id="rId69">
        <w:r>
          <w:rPr>
            <w:rStyle w:val="Hyperlink"/>
            <w:rFonts w:ascii="Times New Roman" w:hAnsi="Times New Roman"/>
            <w:b w:val="false"/>
            <w:i w:val="false"/>
            <w:color w:val="000000"/>
            <w:sz w:val="22"/>
          </w:rPr>
          <w:t>65.12(4)</w:t>
        </w:r>
      </w:hyperlink>
      <w:r>
        <w:rPr>
          <w:rFonts w:ascii="Times New Roman" w:hAnsi="Times New Roman"/>
          <w:b w:val="false"/>
          <w:i w:val="false"/>
          <w:color w:val="000000"/>
          <w:sz w:val="22"/>
        </w:rPr>
        <w:t xml:space="preserve"> and </w:t>
      </w:r>
      <w:hyperlink r:id="rId70">
        <w:r>
          <w:rPr>
            <w:rStyle w:val="Hyperlink"/>
            <w:rFonts w:ascii="Times New Roman" w:hAnsi="Times New Roman"/>
            <w:b w:val="false"/>
            <w:i w:val="false"/>
            <w:color w:val="000000"/>
            <w:sz w:val="22"/>
          </w:rPr>
          <w:t>65.12(5)</w:t>
        </w:r>
      </w:hyperlink>
      <w:r>
        <w:rPr>
          <w:rFonts w:ascii="Times New Roman" w:hAnsi="Times New Roman"/>
          <w:b w:val="false"/>
          <w:i w:val="false"/>
          <w:color w:val="000000"/>
          <w:sz w:val="22"/>
        </w:rPr>
        <w: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ensured confidential treatment of all information, including information contained in an automatic data bank. The resident’s or the resident’s legal guardian’s written informed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A release of information form shall be used which includes to whom the information shall be released, the reason for the information being released, how the information is to be used, and the period of time for which the release is in effect. A third party, not requesting the release, shall witness the signing of the release of information form.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 to the resident. Information shall be made available to staff only to the extent that the information is relevant to the staff person’s responsibilities and duties. (II)</w:t>
      </w:r>
    </w:p>
    <w:p>
      <w:pPr>
        <w:spacing w:before="0" w:after="0"/>
        <w:ind w:left="120"/>
        <w:jc w:val="both"/>
      </w:pPr>
      <w:r>
        <w:rPr>
          <w:rFonts w:ascii="Times New Roman" w:hAnsi="Times New Roman"/>
          <w:b w:val="false"/>
          <w:i w:val="false"/>
          <w:color w:val="000000"/>
          <w:sz w:val="22"/>
        </w:rPr>
        <w:t>Only those personnel concerned with financial affairs of the residents may have access to the financial information. This is not meant to preclude access by representatives of state or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unless the physician or QMHP determines the disclosure of the record or section is contraindicated in which case this information will be deleted prior to making the record available to the resident. This determination and the reasons for it must be documented in the resident’s record by the physician or qualified mental health professional in collaboration with the resident’s interdisciplinary team.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r>
        <w:rPr>
          <w:rFonts w:ascii="Times New Roman" w:hAnsi="Times New Roman"/>
          <w:b w:val="false"/>
          <w:i w:val="false"/>
          <w:color w:val="000000"/>
          <w:sz w:val="22"/>
        </w:rPr>
        <w:t>Each ICF/PMI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of every incident shall be in detail on a printed incident report form.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copy of the incident report shall be kept on file in the facility available for review and a part of administrative records.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65.20(4)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Records shall be retained in the facility for five years following termination of services to the resident even when there is a change of ownership. (III)</w:t>
      </w:r>
    </w:p>
    <w:p>
      <w:pPr>
        <w:spacing w:before="0" w:after="0"/>
        <w:ind w:left="120"/>
        <w:jc w:val="both"/>
      </w:pPr>
      <w:r>
        <w:rPr>
          <w:rFonts w:ascii="Times New Roman" w:hAnsi="Times New Roman"/>
          <w:b w:val="false"/>
          <w:i w:val="false"/>
          <w:color w:val="000000"/>
          <w:sz w:val="22"/>
        </w:rPr>
        <w:t>When the facility ceases to operate, the resident’s record shall be released to the facility to which the resident is transferred. If no transfer occurs, the record shall be released to the individual’s physician.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1">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481—65.21</w:t>
      </w:r>
      <w:r>
        <w:rPr>
          <w:rFonts w:ascii="Times New Roman" w:hAnsi="Times New Roman"/>
          <w:b/>
          <w:i w:val="false"/>
          <w:color w:val="000000"/>
          <w:sz w:val="22"/>
        </w:rPr>
        <w:t xml:space="preserve">(135C) </w:t>
      </w:r>
      <w:r>
        <w:rPr>
          <w:rFonts w:ascii="Times New Roman" w:hAnsi="Times New Roman"/>
          <w:b/>
          <w:i w:val="false"/>
          <w:color w:val="000000"/>
          <w:sz w:val="22"/>
        </w:rPr>
        <w:t xml:space="preserve">Health and 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w:t>
      </w:r>
      <w:r>
        <w:rPr>
          <w:rFonts w:ascii="Times New Roman" w:hAnsi="Times New Roman"/>
          <w:b w:val="false"/>
          <w:i w:val="false"/>
          <w:color w:val="000000"/>
          <w:sz w:val="22"/>
        </w:rPr>
        <w:t> </w:t>
      </w:r>
      <w:r>
        <w:rPr>
          <w:rFonts w:ascii="Times New Roman" w:hAnsi="Times New Roman"/>
          <w:b w:val="false"/>
          <w:i/>
          <w:color w:val="000000"/>
          <w:sz w:val="22"/>
        </w:rPr>
        <w:t xml:space="preserve">Physician. </w:t>
      </w:r>
      <w:r>
        <w:rPr>
          <w:rFonts w:ascii="Times New Roman" w:hAnsi="Times New Roman"/>
          <w:b w:val="false"/>
          <w:i w:val="false"/>
          <w:color w:val="000000"/>
          <w:sz w:val="22"/>
        </w:rPr>
        <w:t>Each resident shall have a designated licensed physician who may be called when needed.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65.21(2)</w:t>
      </w:r>
      <w:r>
        <w:rPr>
          <w:rFonts w:ascii="Times New Roman" w:hAnsi="Times New Roman"/>
          <w:b w:val="false"/>
          <w:i w:val="false"/>
          <w:color w:val="000000"/>
          <w:sz w:val="22"/>
        </w:rPr>
        <w:t> </w:t>
      </w:r>
      <w:r>
        <w:rPr>
          <w:rFonts w:ascii="Times New Roman" w:hAnsi="Times New Roman"/>
          <w:b w:val="false"/>
          <w:i/>
          <w:color w:val="000000"/>
          <w:sz w:val="22"/>
        </w:rPr>
        <w:t xml:space="preserve">Emergency care. </w:t>
      </w:r>
      <w:r>
        <w:rPr>
          <w:rFonts w:ascii="Times New Roman" w:hAnsi="Times New Roman"/>
          <w:b w:val="false"/>
          <w:i w:val="false"/>
          <w:color w:val="000000"/>
          <w:sz w:val="22"/>
        </w:rPr>
        <w:t>Each facility shall have written policies and procedures for emergency medical or psychiatric care to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written agreement with a hospital or psychiatric facility or documentation of attempt to obtain a written agreement for the timely admission of a resident who, in the opinion of the attending physician, requires inpatient services;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Provisions consistent with Iowa Code chapter </w:t>
      </w:r>
      <w:hyperlink r:id="rId72">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Immediate notification by the person in charge to the physician or QMHP, as appropriate, of any accident, injury or adverse change in the resident’s condition.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65.21(3)</w:t>
      </w:r>
      <w:r>
        <w:rPr>
          <w:rFonts w:ascii="Times New Roman" w:hAnsi="Times New Roman"/>
          <w:b w:val="false"/>
          <w:i w:val="false"/>
          <w:color w:val="000000"/>
          <w:sz w:val="22"/>
        </w:rPr>
        <w:t> </w:t>
      </w:r>
      <w:r>
        <w:rPr>
          <w:rFonts w:ascii="Times New Roman" w:hAnsi="Times New Roman"/>
          <w:b w:val="false"/>
          <w:i/>
          <w:color w:val="000000"/>
          <w:sz w:val="22"/>
        </w:rPr>
        <w:t xml:space="preserve">First-aid kit. </w:t>
      </w:r>
      <w:r>
        <w:rPr>
          <w:rFonts w:ascii="Times New Roman" w:hAnsi="Times New Roman"/>
          <w:b w:val="false"/>
          <w:i w:val="false"/>
          <w:color w:val="000000"/>
          <w:sz w:val="22"/>
        </w:rPr>
        <w:t>A first-aid emergency kit shall be available on each floor in every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65.21(4)</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w:t>
      </w:r>
      <w:r>
        <w:rPr>
          <w:rFonts w:ascii="Times New Roman" w:hAnsi="Times New Roman"/>
          <w:b w:val="false"/>
          <w:i w:val="false"/>
          <w:color w:val="000000"/>
          <w:sz w:val="22"/>
        </w:rPr>
        <w:t>Each facility shall have a written and implemented infection control program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Techniques for hand washing consistent with Guidelines for Handwashing and Hospital Control, 1985, Centers for Disease Control, U.S. Department of Health and Human Services, PB85-923404;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Techniques for handling of blood, body fluids, and body wastes consistent with Guideline for Isolation Precautions in Hospitals, Centers for Disease Control, U.S. Department of Health and Human Services, PB96-138102;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Decubitus care;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Infection identification;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 care procedures to be used when there is an infection present consistent with Guideline for Isolation Precautions in Hospitals, Centers for Disease Control, U.S. Department of Health and Human Services, PB96-138102;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Sanitation techniques for resident care equipment;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Techniques for sanitary use and reuse of enteral feeding bags, feeding syringes and urine collection bags;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Techniques for use and disposal of needles, syringes, and other sharp instruments consistent with Guideline for Isolation Precautions in Hospitals, Centers for Disease Control, U.S. Department of Health and Human Services, PB96-138102; (I, II,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Aseptic techniques when using: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Intravenous or central line catheter consistent with Guideline for Prevention of Intravascular Device Related Infections, Centers for Disease Control, U.S. Department of Health and Human Services, PB97-130074,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Urinary catheter,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Respiratory suction, oxygen or humidification,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Dressings, soaks, or packs,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Tracheostomy,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Nasogastric or gastrostomy tubes, (I,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Sanitary use and reuse of feeding syringes and single-resident uses and reuse of urine collection bags. (I, II, III)</w:t>
      </w:r>
    </w:p>
    <w:p>
      <w:pPr>
        <w:spacing w:before="0" w:after="0"/>
        <w:ind w:left="120"/>
        <w:jc w:val="both"/>
      </w:pPr>
      <w:r>
        <w:rPr>
          <w:rFonts w:ascii="Times New Roman" w:hAnsi="Times New Roman"/>
          <w:b w:val="false"/>
          <w:i w:val="false"/>
          <w:color w:val="000000"/>
          <w:sz w:val="22"/>
        </w:rPr>
        <w:t>CDC Guidelines may be obtained from the U.S. Department of Commerce, Technology Administration, National Technical Information Service, 5285 Port Royal Rd., Springfield, Virginia 22161 (1-800-553-6847).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65.21(5)</w:t>
      </w:r>
      <w:r>
        <w:rPr>
          <w:rFonts w:ascii="Times New Roman" w:hAnsi="Times New Roman"/>
          <w:b w:val="false"/>
          <w:i w:val="false"/>
          <w:color w:val="000000"/>
          <w:sz w:val="22"/>
        </w:rPr>
        <w:t> </w:t>
      </w:r>
      <w:r>
        <w:rPr>
          <w:rFonts w:ascii="Times New Roman" w:hAnsi="Times New Roman"/>
          <w:b w:val="false"/>
          <w:i/>
          <w:color w:val="000000"/>
          <w:sz w:val="22"/>
        </w:rPr>
        <w:t xml:space="preserve">Disposable items. </w:t>
      </w:r>
      <w:r>
        <w:rPr>
          <w:rFonts w:ascii="Times New Roman" w:hAnsi="Times New Roman"/>
          <w:b w:val="false"/>
          <w:i w:val="false"/>
          <w:color w:val="000000"/>
          <w:sz w:val="22"/>
        </w:rPr>
        <w:t xml:space="preserve">There shall be disposable or one-time use items available with provisions for proper disposal to prevent reuse except as allowed by </w:t>
      </w:r>
      <w:hyperlink r:id="rId73">
        <w:r>
          <w:rPr>
            <w:rStyle w:val="Hyperlink"/>
            <w:rFonts w:ascii="Times New Roman" w:hAnsi="Times New Roman"/>
            <w:b w:val="false"/>
            <w:i w:val="false"/>
            <w:color w:val="000000"/>
            <w:sz w:val="22"/>
          </w:rPr>
          <w:t>65.21(4)</w:t>
        </w:r>
      </w:hyperlink>
      <w:r>
        <w:rPr>
          <w:rFonts w:ascii="Times New Roman" w:hAnsi="Times New Roman"/>
          <w:b w:val="false"/>
          <w:i/>
          <w:color w:val="000000"/>
          <w:sz w:val="22"/>
        </w:rPr>
        <w:t>“g.”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65.21(6)</w:t>
      </w:r>
      <w:r>
        <w:rPr>
          <w:rFonts w:ascii="Times New Roman" w:hAnsi="Times New Roman"/>
          <w:b w:val="false"/>
          <w:i w:val="false"/>
          <w:color w:val="000000"/>
          <w:sz w:val="22"/>
        </w:rPr>
        <w:t> </w:t>
      </w:r>
      <w:r>
        <w:rPr>
          <w:rFonts w:ascii="Times New Roman" w:hAnsi="Times New Roman"/>
          <w:b w:val="false"/>
          <w:i/>
          <w:color w:val="000000"/>
          <w:sz w:val="22"/>
        </w:rPr>
        <w:t xml:space="preserve">Infection control committee. </w:t>
      </w:r>
      <w:r>
        <w:rPr>
          <w:rFonts w:ascii="Times New Roman" w:hAnsi="Times New Roman"/>
          <w:b w:val="false"/>
          <w:i w:val="false"/>
          <w:color w:val="000000"/>
          <w:sz w:val="22"/>
        </w:rPr>
        <w:t>Each facility shall establish an infection control committee of representative professional staff responsible for overall infection control in the facility.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committee shall annually review and revise the infection control policies and procedures to monitor effectiveness and suggest improvement.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committee shall meet at least quarterly, submit reports to the administrator, and maintain minutes in sufficient detail to document its proceedings and actions.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committee shall monitor the health aspect and the environment of the facility. (III)</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4">
        <w:r>
          <w:rPr>
            <w:rStyle w:val="Hyperlink"/>
            <w:rFonts w:ascii="Times New Roman" w:hAnsi="Times New Roman"/>
            <w:b w:val="false"/>
            <w:i w:val="false"/>
            <w:color w:val="000000"/>
            <w:sz w:val="22"/>
          </w:rPr>
          <w:t>135C.14(3)</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135C.14(5)</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65.21(7)</w:t>
      </w:r>
      <w:r>
        <w:rPr>
          <w:rFonts w:ascii="Times New Roman" w:hAnsi="Times New Roman"/>
          <w:b w:val="false"/>
          <w:i w:val="false"/>
          <w:color w:val="000000"/>
          <w:sz w:val="22"/>
        </w:rPr>
        <w:t> </w:t>
      </w:r>
      <w:r>
        <w:rPr>
          <w:rFonts w:ascii="Times New Roman" w:hAnsi="Times New Roman"/>
          <w:b w:val="false"/>
          <w:i/>
          <w:color w:val="000000"/>
          <w:sz w:val="22"/>
        </w:rPr>
        <w:t xml:space="preserve">Dental services. </w:t>
      </w:r>
      <w:r>
        <w:rPr>
          <w:rFonts w:ascii="Times New Roman" w:hAnsi="Times New Roman"/>
          <w:b w:val="false"/>
          <w:i w:val="false"/>
          <w:color w:val="000000"/>
          <w:sz w:val="22"/>
        </w:rPr>
        <w:t>The facility shall assist residents to obtain regular and emergency dental services and provide necessary transportation. Dental services shall be performed only on the request of the resident or legal guardian. The resident’s physician shall be advised of the resident’s dental problems.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65.21(8)</w:t>
      </w:r>
      <w:r>
        <w:rPr>
          <w:rFonts w:ascii="Times New Roman" w:hAnsi="Times New Roman"/>
          <w:b w:val="false"/>
          <w:i w:val="false"/>
          <w:color w:val="000000"/>
          <w:sz w:val="22"/>
        </w:rPr>
        <w:t> </w:t>
      </w:r>
      <w:r>
        <w:rPr>
          <w:rFonts w:ascii="Times New Roman" w:hAnsi="Times New Roman"/>
          <w:b w:val="false"/>
          <w:i/>
          <w:color w:val="000000"/>
          <w:sz w:val="22"/>
        </w:rPr>
        <w:t xml:space="preserve">Safe environment. </w:t>
      </w:r>
      <w:r>
        <w:rPr>
          <w:rFonts w:ascii="Times New Roman" w:hAnsi="Times New Roman"/>
          <w:b w:val="false"/>
          <w:i w:val="false"/>
          <w:color w:val="000000"/>
          <w:sz w:val="22"/>
        </w:rPr>
        <w:t>The licensee of an ICF/PMI is responsible for the provision and maintenance of a safe environment for residents and personnel. (I, II) The ICF/PMI may have locked exit doors and shall meet the fire and safety rules and regulations as promulgated by the state fire marshal.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65.21(9)</w:t>
      </w:r>
      <w:r>
        <w:rPr>
          <w:rFonts w:ascii="Times New Roman" w:hAnsi="Times New Roman"/>
          <w:b w:val="false"/>
          <w:i w:val="false"/>
          <w:color w:val="000000"/>
          <w:sz w:val="22"/>
        </w:rPr>
        <w:t> </w:t>
      </w:r>
      <w:r>
        <w:rPr>
          <w:rFonts w:ascii="Times New Roman" w:hAnsi="Times New Roman"/>
          <w:b w:val="false"/>
          <w:i/>
          <w:color w:val="000000"/>
          <w:sz w:val="22"/>
        </w:rPr>
        <w:t xml:space="preserve">Disaster. </w:t>
      </w:r>
      <w:r>
        <w:rPr>
          <w:rFonts w:ascii="Times New Roman" w:hAnsi="Times New Roman"/>
          <w:b w:val="false"/>
          <w:i w:val="false"/>
          <w:color w:val="000000"/>
          <w:sz w:val="22"/>
        </w:rPr>
        <w:t>The licensee shall have a written emergency plan to be followed in the event of fire, tornado, explosion, or other emergency.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plan shall be posted.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shall be provided to ensure that all employees and residents are knowledgeable of the emergency plan. The training shall be documented.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smoke only in posted areas where proper facilities are provided. Smoking by residents considered to be careless shall be prohibited except under direct supervision and in accordance with the IPP.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65.21(10)</w:t>
      </w:r>
      <w:r>
        <w:rPr>
          <w:rFonts w:ascii="Times New Roman" w:hAnsi="Times New Roman"/>
          <w:b w:val="false"/>
          <w:i w:val="false"/>
          <w:color w:val="000000"/>
          <w:sz w:val="22"/>
        </w:rPr>
        <w:t> </w:t>
      </w:r>
      <w:r>
        <w:rPr>
          <w:rFonts w:ascii="Times New Roman" w:hAnsi="Times New Roman"/>
          <w:b w:val="false"/>
          <w:i/>
          <w:color w:val="000000"/>
          <w:sz w:val="22"/>
        </w:rPr>
        <w:t xml:space="preserve">Safety precautions. </w:t>
      </w:r>
      <w:r>
        <w:rPr>
          <w:rFonts w:ascii="Times New Roman" w:hAnsi="Times New Roman"/>
          <w:b w:val="false"/>
          <w:i w:val="false"/>
          <w:color w:val="000000"/>
          <w:sz w:val="22"/>
        </w:rPr>
        <w:t>The facility shall take reasonable measures to ensure the safety of residents and shall involve the residents in learning the safe handling of household supplies and equipment in accordance with the policies and procedures established by the facility. (II)</w:t>
      </w:r>
    </w:p>
    <w:p>
      <w:pPr>
        <w:spacing w:before="0" w:after="0"/>
        <w:ind w:left="120"/>
        <w:jc w:val="both"/>
      </w:pPr>
      <w:r>
        <w:rPr>
          <w:rFonts w:ascii="Times New Roman" w:hAnsi="Times New Roman"/>
          <w:b w:val="false"/>
          <w:i w:val="false"/>
          <w:color w:val="000000"/>
          <w:sz w:val="22"/>
        </w:rPr>
        <w:t>All potent, poisonous, or caustic materials shall be plainly labeled and stored in a specific locked, well-illuminated cabinet, closet, or storeroom and made accessible only to authorized persons.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65.21(11)</w:t>
      </w:r>
      <w:r>
        <w:rPr>
          <w:rFonts w:ascii="Times New Roman" w:hAnsi="Times New Roman"/>
          <w:b w:val="false"/>
          <w:i w:val="false"/>
          <w:color w:val="000000"/>
          <w:sz w:val="22"/>
        </w:rPr>
        <w:t> </w:t>
      </w:r>
      <w:r>
        <w:rPr>
          <w:rFonts w:ascii="Times New Roman" w:hAnsi="Times New Roman"/>
          <w:b w:val="false"/>
          <w:i/>
          <w:color w:val="000000"/>
          <w:sz w:val="22"/>
        </w:rPr>
        <w:t xml:space="preserve">Hazards. </w:t>
      </w:r>
      <w:r>
        <w:rPr>
          <w:rFonts w:ascii="Times New Roman" w:hAnsi="Times New Roman"/>
          <w:b w:val="false"/>
          <w:i w:val="false"/>
          <w:color w:val="000000"/>
          <w:sz w:val="22"/>
        </w:rPr>
        <w:t>Entrances, exits, steps, and outside steps and walkways shall be cleared of ice and snow as soon as possible, and kept free of other hazards.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65.21(12)</w:t>
      </w:r>
      <w:r>
        <w:rPr>
          <w:rFonts w:ascii="Times New Roman" w:hAnsi="Times New Roman"/>
          <w:b w:val="false"/>
          <w:i w:val="false"/>
          <w:color w:val="000000"/>
          <w:sz w:val="22"/>
        </w:rPr>
        <w:t> </w:t>
      </w:r>
      <w:r>
        <w:rPr>
          <w:rFonts w:ascii="Times New Roman" w:hAnsi="Times New Roman"/>
          <w:b w:val="false"/>
          <w:i/>
          <w:color w:val="000000"/>
          <w:sz w:val="22"/>
        </w:rPr>
        <w:t xml:space="preserve">Laundry. </w:t>
      </w:r>
      <w:r>
        <w:rPr>
          <w:rFonts w:ascii="Times New Roman" w:hAnsi="Times New Roman"/>
          <w:b w:val="false"/>
          <w:i w:val="false"/>
          <w:color w:val="000000"/>
          <w:sz w:val="22"/>
        </w:rPr>
        <w:t>All soiled linens shall be collected in and transported to the laundry room in closed, leakproof laundry bags or covered, impermeable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for related activities, the laundry room shall not be used for other purposes.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Personal laundry shall be marked with an identification unless the residents are responsible for doing their own laundry as indicated in the individual program plan.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an adequate supply of clean, stain-free linens so that each resident shall have at least three washcloths, hand towels, and bath towels per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Each bed shall be provided with clean, stain-free washable bedspreads and sufficient lightweight serviceable blankets. A complete change of bed linens shall be available for each bed. Linens on beds shall be clean, stain-free and in good repair at all times.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65.21(13)</w:t>
      </w:r>
      <w:r>
        <w:rPr>
          <w:rFonts w:ascii="Times New Roman" w:hAnsi="Times New Roman"/>
          <w:b w:val="false"/>
          <w:i w:val="false"/>
          <w:color w:val="000000"/>
          <w:sz w:val="22"/>
        </w:rPr>
        <w:t> </w:t>
      </w:r>
      <w:r>
        <w:rPr>
          <w:rFonts w:ascii="Times New Roman" w:hAnsi="Times New Roman"/>
          <w:b w:val="false"/>
          <w:i/>
          <w:color w:val="000000"/>
          <w:sz w:val="22"/>
        </w:rPr>
        <w:t xml:space="preserve">Supplies, equipment, and storage. </w:t>
      </w:r>
      <w:r>
        <w:rPr>
          <w:rFonts w:ascii="Times New Roman" w:hAnsi="Times New Roman"/>
          <w:b w:val="false"/>
          <w:i w:val="false"/>
          <w:color w:val="000000"/>
          <w:sz w:val="22"/>
        </w:rPr>
        <w:t>Each facility shall provide a variety of supplies and equipment of a nature calculated to fit the needs and interests of the residents. These may include: books (standard and large print), magazines, newspapers, radio, television, bulletin boards, board games, game equipment, songbooks, cards, craft supplies, record player, movie projector, piano, and outdoor equipment. Supplies and equipment shall be appropriate to the chronological age of the residents. (III)</w:t>
      </w:r>
    </w:p>
    <w:p>
      <w:pPr>
        <w:spacing w:before="0" w:after="0"/>
        <w:ind w:left="120"/>
        <w:jc w:val="both"/>
      </w:pPr>
      <w:r>
        <w:rPr>
          <w:rFonts w:ascii="Times New Roman" w:hAnsi="Times New Roman"/>
          <w:b w:val="false"/>
          <w:i w:val="false"/>
          <w:color w:val="000000"/>
          <w:sz w:val="22"/>
        </w:rPr>
        <w:t>Storage shall be provided for recreational equipment and supplies.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7">
        <w:r>
          <w:rPr>
            <w:rStyle w:val="Hyperlink"/>
            <w:rFonts w:ascii="Times New Roman" w:hAnsi="Times New Roman"/>
            <w:b w:val="false"/>
            <w:i w:val="false"/>
            <w:color w:val="000000"/>
            <w:sz w:val="22"/>
          </w:rPr>
          <w:t>135C.14(1)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481—65.22</w:t>
      </w:r>
      <w:r>
        <w:rPr>
          <w:rFonts w:ascii="Times New Roman" w:hAnsi="Times New Roman"/>
          <w:b/>
          <w:i w:val="false"/>
          <w:color w:val="000000"/>
          <w:sz w:val="22"/>
        </w:rPr>
        <w:t xml:space="preserve">(135C) </w:t>
      </w:r>
      <w:r>
        <w:rPr>
          <w:rFonts w:ascii="Times New Roman" w:hAnsi="Times New Roman"/>
          <w:b/>
          <w:i w:val="false"/>
          <w:color w:val="000000"/>
          <w:sz w:val="22"/>
        </w:rPr>
        <w:t xml:space="preserve">Nutrition. </w:t>
      </w:r>
      <w:r>
        <w:rPr>
          <w:rFonts w:ascii="Times New Roman" w:hAnsi="Times New Roman"/>
          <w:b w:val="false"/>
          <w:i w:val="false"/>
          <w:color w:val="000000"/>
          <w:sz w:val="22"/>
        </w:rPr>
        <w:t>There shall be policies and procedures written and implemented for dietary staffing.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person responsible for planning menus and monitoring the kitchens in each facility shall have completed training, approved by the department, in sanitation and food preparation. (III)</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 facilities licensed for over 15 beds, food service personnel shall be on duty during a 12-hour span extending from the preparation of breakfast through supper. (III)</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There shall be written work schedules and time schedules covering each type of job in the food service department for facilities over 15 beds. These work and time schedules shall be posted or kept in a notebook which is available for use in the food service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65.22(1)</w:t>
      </w:r>
      <w:r>
        <w:rPr>
          <w:rFonts w:ascii="Times New Roman" w:hAnsi="Times New Roman"/>
          <w:b w:val="false"/>
          <w:i w:val="false"/>
          <w:color w:val="000000"/>
          <w:sz w:val="22"/>
        </w:rPr>
        <w:t> </w:t>
      </w:r>
      <w:r>
        <w:rPr>
          <w:rFonts w:ascii="Times New Roman" w:hAnsi="Times New Roman"/>
          <w:b w:val="false"/>
          <w:i/>
          <w:color w:val="000000"/>
          <w:sz w:val="22"/>
        </w:rPr>
        <w:t xml:space="preserve">Nutrition and menu planning. </w:t>
      </w:r>
      <w:r>
        <w:rPr>
          <w:rFonts w:ascii="Times New Roman" w:hAnsi="Times New Roman"/>
          <w:b w:val="false"/>
          <w:i w:val="false"/>
          <w:color w:val="000000"/>
          <w:sz w:val="22"/>
        </w:rPr>
        <w:t>Residents shall be encouraged to the maximum extent possible to participate in meal planning, shopping, and in preparing and serving the meal and cleaning up. The facility shall be responsible for helping residents become knowledgeable of what constitutes a nutritionally adequate diet.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Menus shall be planned and served to meet nutritional needs of residents in accordance with the physician’s diet orders which shall be renewed yearly. Menus shall be planned and served to include foods and amounts necessary to meet the recommended daily dietary allowances of the Food and Nutrition Board of the National Research Council, National Academy of Sciences. Other foods shall be included to meet energy requirements (calories) to add to the total nutrients and variety of meals.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At least three meals or their equivalent shall be made available to each resident daily, consistent with those times normally existing in the community.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There shall be no more than a 14-hour span between the substantial evening meal and breakfast.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the extent medically possible, bedtime nourishments, containing a protein source, shall be offered routinely to all residents. Special nourishments shall be available when ordered by the physician.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Menus shall include a variety of foods prepared in various ways. The same menus shall not be repeated on the same day of the following week.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modified diets are ordered by the physician, the person responsible for writing the menus shall have completed department-approved training in simple therapeutic diets. A copy of a modified diet manual approved by the department and written within the past five years shall be available in the facility.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Therapeutic diets shall be served accurately.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Menus shall be written at least one week in advance. The current menu shall be located in an accessible place in the dietetic service department for easy use by persons purchasing, preparing, and serving food.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Records of menus as served shall be filed and maintained for 30 days and shall be available for review by departmental personnel. When substitutions are necessary, they shall be of similar nutritive value and recorded on the menu or in a notebook.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file of tested recipes adjusted to the number of people to be fed in the facility shall be maintained.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65.22(2)</w:t>
      </w:r>
      <w:r>
        <w:rPr>
          <w:rFonts w:ascii="Times New Roman" w:hAnsi="Times New Roman"/>
          <w:b w:val="false"/>
          <w:i w:val="false"/>
          <w:color w:val="000000"/>
          <w:sz w:val="22"/>
        </w:rPr>
        <w:t> </w:t>
      </w:r>
      <w:r>
        <w:rPr>
          <w:rFonts w:ascii="Times New Roman" w:hAnsi="Times New Roman"/>
          <w:b w:val="false"/>
          <w:i/>
          <w:color w:val="000000"/>
          <w:sz w:val="22"/>
        </w:rPr>
        <w:t xml:space="preserve">Dietary storage, food preparation, service. </w:t>
      </w:r>
      <w:r>
        <w:rPr>
          <w:rFonts w:ascii="Times New Roman" w:hAnsi="Times New Roman"/>
          <w:b w:val="false"/>
          <w:i w:val="false"/>
          <w:color w:val="000000"/>
          <w:sz w:val="22"/>
        </w:rPr>
        <w:t>In each stage, food shall be handled with maximum care for safety and good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use of foods from salvaged, damaged, or unlabeled containers is prohibited.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perishable food shall be allowed to stand at room temperature any longer than is required to prepare and serve.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Canning food is prohibited. The facility may freeze fruits, vegetables, and meats provided strict sanitary procedures are followed and in accordance with recommendations in the “Food Service Sanitation Manual,” revised 1976, U.S. Department of Health, Education, and Welfare, Public Health Service, U.S. Government Printing Office, Washington, D.C.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Supplies of staple foods for a minimum of a one-week period and of perishable foods for a minimum of a three-day period shall be maintained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family-style service is used, all leftover prepared food that has been on the table shall be safely handled.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Poisonous compounds shall not be kept in food storage or preparation areas except for a sanitizing agent which shall be kept in a locked cabinet.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65.22(3)</w:t>
      </w:r>
      <w:r>
        <w:rPr>
          <w:rFonts w:ascii="Times New Roman" w:hAnsi="Times New Roman"/>
          <w:b w:val="false"/>
          <w:i w:val="false"/>
          <w:color w:val="000000"/>
          <w:sz w:val="22"/>
        </w:rPr>
        <w:t> </w:t>
      </w:r>
      <w:r>
        <w:rPr>
          <w:rFonts w:ascii="Times New Roman" w:hAnsi="Times New Roman"/>
          <w:b w:val="false"/>
          <w:i/>
          <w:color w:val="000000"/>
          <w:sz w:val="22"/>
        </w:rPr>
        <w:t xml:space="preserve">Sanitation in food preparation area. </w:t>
      </w:r>
      <w:r>
        <w:rPr>
          <w:rFonts w:ascii="Times New Roman" w:hAnsi="Times New Roman"/>
          <w:b w:val="false"/>
          <w:i w:val="false"/>
          <w:color w:val="000000"/>
          <w:sz w:val="22"/>
        </w:rPr>
        <w:t xml:space="preserve">The facility shall develop and implement policies and procedures to address sanitation, meal preparation and service in accordance with recommendations in the “Food Service Sanitation Manual” reference in </w:t>
      </w:r>
      <w:hyperlink r:id="rId78">
        <w:r>
          <w:rPr>
            <w:rStyle w:val="Hyperlink"/>
            <w:rFonts w:ascii="Times New Roman" w:hAnsi="Times New Roman"/>
            <w:b w:val="false"/>
            <w:i w:val="false"/>
            <w:color w:val="000000"/>
            <w:sz w:val="22"/>
          </w:rPr>
          <w:t>65.22(2)</w:t>
        </w:r>
        <w:r>
          <w:rPr>
            <w:rFonts w:ascii="Times New Roman" w:hAnsi="Times New Roman"/>
            <w:b w:val="false"/>
            <w:i/>
            <w:color w:val="000000"/>
            <w:sz w:val="22"/>
          </w:rPr>
          <w:t>“c,”</w:t>
        </w:r>
      </w:hyperlink>
      <w:r>
        <w:rPr>
          <w:rFonts w:ascii="Times New Roman" w:hAnsi="Times New Roman"/>
          <w:b w:val="false"/>
          <w:i w:val="false"/>
          <w:color w:val="000000"/>
          <w:sz w:val="22"/>
        </w:rPr>
        <w:t xml:space="preserve"> which shall be used as the established, nationally recognized reference for establishing and determining satisfactory compliance with the department’s food service and sanitation rules.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of 15 beds or fewer, residents may be allowed in the food preparation area in accordance with their IPP.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facilities licensed for over 15 beds, the kitchen shall not be used for serving meals to residents, food service personnel, or other staff.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appliances and work areas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written procedures established for cleaning all work and serving areas in facilities over 15 beds and a schedule of duties to be performed daily shall be posted in each food area.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food service area shall be located so it will not be used as a passageway by residents, guests, or nonfood service staff in facilities over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Dirty linen shall not be carried through the food service area unless it is in sealed, leakproof containers.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Mops, scrub pails, and other cleaning equipment used in the resident areas shall not be stored or used in the dietary area.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65.22(4)</w:t>
      </w:r>
      <w:r>
        <w:rPr>
          <w:rFonts w:ascii="Times New Roman" w:hAnsi="Times New Roman"/>
          <w:b w:val="false"/>
          <w:i w:val="false"/>
          <w:color w:val="000000"/>
          <w:sz w:val="22"/>
        </w:rPr>
        <w:t> </w:t>
      </w:r>
      <w:r>
        <w:rPr>
          <w:rFonts w:ascii="Times New Roman" w:hAnsi="Times New Roman"/>
          <w:b w:val="false"/>
          <w:i/>
          <w:color w:val="000000"/>
          <w:sz w:val="22"/>
        </w:rPr>
        <w:t xml:space="preserve">Hygiene of food service personnel. </w:t>
      </w:r>
      <w:r>
        <w:rPr>
          <w:rFonts w:ascii="Times New Roman" w:hAnsi="Times New Roman"/>
          <w:b w:val="false"/>
          <w:i w:val="false"/>
          <w:color w:val="000000"/>
          <w:sz w:val="22"/>
        </w:rPr>
        <w:t>If food service employees are assigned duties outside the dietetic service, these duties shall not interfere with sanitation, safety, or time required for dietetic work assignments.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shall wear clean, washable uniforms that are not used for duties outside the food service area in facilities over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Hair nets shall be worn by all food service personnel and residents who do work in the kitchen in facilities over 15 beds and effective hair restraints in facilities with fewer than 15 beds.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People who handle food shall use correct hand-washing and food-handling techniques as identified in the “Food Service Sanitation Manual.” People who handle dirty dishes shall not handle clean dishes without washing their hands.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79">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481—65.23</w:t>
      </w:r>
      <w:r>
        <w:rPr>
          <w:rFonts w:ascii="Times New Roman" w:hAnsi="Times New Roman"/>
          <w:b/>
          <w:i w:val="false"/>
          <w:color w:val="000000"/>
          <w:sz w:val="22"/>
        </w:rPr>
        <w:t xml:space="preserve">(135C) </w:t>
      </w:r>
      <w:r>
        <w:rPr>
          <w:rFonts w:ascii="Times New Roman" w:hAnsi="Times New Roman"/>
          <w:b/>
          <w:i w:val="false"/>
          <w:color w:val="000000"/>
          <w:sz w:val="22"/>
        </w:rPr>
        <w:t xml:space="preserve">Physical facilities and maintenance.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w:t>
      </w:r>
      <w:r>
        <w:rPr>
          <w:rFonts w:ascii="Times New Roman" w:hAnsi="Times New Roman"/>
          <w:b w:val="false"/>
          <w:i w:val="false"/>
          <w:color w:val="000000"/>
          <w:sz w:val="22"/>
        </w:rPr>
        <w:t> </w:t>
      </w:r>
      <w:r>
        <w:rPr>
          <w:rFonts w:ascii="Times New Roman" w:hAnsi="Times New Roman"/>
          <w:b w:val="false"/>
          <w:i/>
          <w:color w:val="000000"/>
          <w:sz w:val="22"/>
        </w:rPr>
        <w:t xml:space="preserve">Housekeeping. </w:t>
      </w:r>
      <w:r>
        <w:rPr>
          <w:rFonts w:ascii="Times New Roman" w:hAnsi="Times New Roman"/>
          <w:b w:val="false"/>
          <w:i w:val="false"/>
          <w:color w:val="000000"/>
          <w:sz w:val="22"/>
        </w:rPr>
        <w:t>The facility shall have written procedures for daily and weekly cleaning (III) which include, but need not be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rooms including furnishings, all corridors, storage areas, linen closets, attics, and basements shall be kept in a clean, orderly condition, free of unserviceable furniture and equipment or accumulations of refuse.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resident bedrooms, including furnishings, shall be cleaned and sanitized before use by another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Polishes used on floors shall provide a slip-resistant finish.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65.23(2)</w:t>
      </w:r>
      <w:r>
        <w:rPr>
          <w:rFonts w:ascii="Times New Roman" w:hAnsi="Times New Roman"/>
          <w:b w:val="false"/>
          <w:i w:val="false"/>
          <w:color w:val="000000"/>
          <w:sz w:val="22"/>
        </w:rPr>
        <w:t> </w:t>
      </w:r>
      <w:r>
        <w:rPr>
          <w:rFonts w:ascii="Times New Roman" w:hAnsi="Times New Roman"/>
          <w:b w:val="false"/>
          <w:i/>
          <w:color w:val="000000"/>
          <w:sz w:val="22"/>
        </w:rPr>
        <w:t xml:space="preserve">Equipment. </w:t>
      </w:r>
      <w:r>
        <w:rPr>
          <w:rFonts w:ascii="Times New Roman" w:hAnsi="Times New Roman"/>
          <w:b w:val="false"/>
          <w:i w:val="false"/>
          <w:color w:val="000000"/>
          <w:sz w:val="22"/>
        </w:rPr>
        <w:t>Housekeeping and maintenance personnel shall be provided with well-constructed and properly maintained equipment appropriate to the function for which it is to be used.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facilities shall be provided with clean and sanitary storage for cleaning equipment, supplies, and utensils. In facilities over 15 beds, a janitor’s closet shall be provided. It shall be equipped with water for filling scrub pails and a janitor’s sink for emptying scrub pails. A hallway or corridor shall not be used for storage of equipment.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Sufficient numbers of noncombustible trash containers, which have covers, shall be available.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containers for trash shall be watertight, rodent-proof, and have tight-fitting covers and shall be thoroughly cleaned each time a container is emptied.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wastes shall be properly disposed of in compliance with the local ordinances and state codes.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r>
        <w:rPr>
          <w:rFonts w:ascii="Times New Roman" w:hAnsi="Times New Roman"/>
          <w:b w:val="false"/>
          <w:i w:val="false"/>
          <w:color w:val="000000"/>
          <w:sz w:val="22"/>
        </w:rPr>
        <w:t>Each resident shall be provided with a bed, substantially constructed and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Rollaway beds, metal cots, or folding beds are not acceptable.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bed shall be equipped with the following: casters or glides; clean springs in good repair; a clean, comfortable, well-constructed mattress approximately 5 inches thick and standard in size for the bed; and clean, comfortable pillows of average bed size.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 comfortable chair, either a rocking chair or arm chair, per resident bed. The resident’s personal wishes shall be considered and documented.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drawer space for each resident’s clothing. In a multiple bedroom, drawer space shall be assigned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There shall be a bedside table with a drawer and a reading lamp for each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furnishings and equipment shall be durable, cleanable, and appropriate to its function.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resident areas shall be decorated, painted, and furnished to provide a homelike atmosphere and in a manner which is age and culture appropriate.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Upholstery materials shall be moisture- and soil-resistant, except on furniture which is provided and owned by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Beds and other furnishings shall not obstruct free passage to and through doorways.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Beds shall not be placed with the side of the bed against a radiator or in close proximity to it unless the radiator is covered to protect the resident from contact with it or from excessive heat.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65.23(4)</w:t>
      </w:r>
      <w:r>
        <w:rPr>
          <w:rFonts w:ascii="Times New Roman" w:hAnsi="Times New Roman"/>
          <w:b w:val="false"/>
          <w:i w:val="false"/>
          <w:color w:val="000000"/>
          <w:sz w:val="22"/>
        </w:rPr>
        <w:t> </w:t>
      </w:r>
      <w:r>
        <w:rPr>
          <w:rFonts w:ascii="Times New Roman" w:hAnsi="Times New Roman"/>
          <w:b w:val="false"/>
          <w:i/>
          <w:color w:val="000000"/>
          <w:sz w:val="22"/>
        </w:rPr>
        <w:t xml:space="preserve">Bath and toilet facilities. </w:t>
      </w:r>
      <w:r>
        <w:rPr>
          <w:rFonts w:ascii="Times New Roman" w:hAnsi="Times New Roman"/>
          <w:b w:val="false"/>
          <w:i w:val="false"/>
          <w:color w:val="000000"/>
          <w:sz w:val="22"/>
        </w:rPr>
        <w:t>All lavatories shall have nonreusable towels or an air dryer and an available supply of soap.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65.23(5)</w:t>
      </w:r>
      <w:r>
        <w:rPr>
          <w:rFonts w:ascii="Times New Roman" w:hAnsi="Times New Roman"/>
          <w:b w:val="false"/>
          <w:i w:val="false"/>
          <w:color w:val="000000"/>
          <w:sz w:val="22"/>
        </w:rPr>
        <w:t> </w:t>
      </w:r>
      <w:r>
        <w:rPr>
          <w:rFonts w:ascii="Times New Roman" w:hAnsi="Times New Roman"/>
          <w:b w:val="false"/>
          <w:i/>
          <w:color w:val="000000"/>
          <w:sz w:val="22"/>
        </w:rPr>
        <w:t xml:space="preserve">Dining and living rooms. </w:t>
      </w:r>
      <w:r>
        <w:rPr>
          <w:rFonts w:ascii="Times New Roman" w:hAnsi="Times New Roman"/>
          <w:b w:val="false"/>
          <w:i w:val="false"/>
          <w:color w:val="000000"/>
          <w:sz w:val="22"/>
        </w:rPr>
        <w:t>Dining rooms and living rooms shall be available for use by residents at appropriate times to allow social, diversional, individual, and group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Every facility shall have a dining room and a living room easily accessible to all residents which are never used as bedrooms.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combination dining room and living room may be permitted if the space requirements of a multipurpose room as provided in </w:t>
      </w:r>
      <w:hyperlink r:id="rId80">
        <w:r>
          <w:rPr>
            <w:rStyle w:val="Hyperlink"/>
            <w:rFonts w:ascii="Times New Roman" w:hAnsi="Times New Roman"/>
            <w:b w:val="false"/>
            <w:i w:val="false"/>
            <w:color w:val="000000"/>
            <w:sz w:val="22"/>
          </w:rPr>
          <w:t>481—subrule 61.6(2)</w:t>
        </w:r>
      </w:hyperlink>
      <w:r>
        <w:rPr>
          <w:rFonts w:ascii="Times New Roman" w:hAnsi="Times New Roman"/>
          <w:b w:val="false"/>
          <w:i w:val="false"/>
          <w:color w:val="000000"/>
          <w:sz w:val="22"/>
        </w:rPr>
        <w:t xml:space="preserve"> are met.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Living rooms shall be suitably furnished and maintained for the use of residents and their visitors and may be used for recreational activities.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Dining rooms shall be furnished with dining tables and chairs appropriate to the size and function of the facility. These rooms and furnishings shall be kept clean and sanitary.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65.23(6)</w:t>
      </w:r>
      <w:r>
        <w:rPr>
          <w:rFonts w:ascii="Times New Roman" w:hAnsi="Times New Roman"/>
          <w:b w:val="false"/>
          <w:i w:val="false"/>
          <w:color w:val="000000"/>
          <w:sz w:val="22"/>
        </w:rPr>
        <w:t> </w:t>
      </w:r>
      <w:r>
        <w:rPr>
          <w:rFonts w:ascii="Times New Roman" w:hAnsi="Times New Roman"/>
          <w:b w:val="false"/>
          <w:i/>
          <w:color w:val="000000"/>
          <w:sz w:val="22"/>
        </w:rPr>
        <w:t xml:space="preserve">Family and employee accommodations. </w:t>
      </w:r>
      <w:r>
        <w:rPr>
          <w:rFonts w:ascii="Times New Roman" w:hAnsi="Times New Roman"/>
          <w:b w:val="false"/>
          <w:i w:val="false"/>
          <w:color w:val="000000"/>
          <w:sz w:val="22"/>
        </w:rPr>
        <w:t>Resident bedrooms shall not be occupied by employees, family members of employees, or family members of the licensee.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facilities where the total occupancy of family, employees, and residents is five or fewer, one toilet and one tub or shower is the minimum requirement.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all health care facilities, if the family or employees live within the facility, living quarters shall be required for the family or employees separate from areas provided for residents.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65.23(7)</w:t>
      </w:r>
      <w:r>
        <w:rPr>
          <w:rFonts w:ascii="Times New Roman" w:hAnsi="Times New Roman"/>
          <w:b w:val="false"/>
          <w:i w:val="false"/>
          <w:color w:val="000000"/>
          <w:sz w:val="22"/>
        </w:rPr>
        <w:t> </w:t>
      </w:r>
      <w:r>
        <w:rPr>
          <w:rFonts w:ascii="Times New Roman" w:hAnsi="Times New Roman"/>
          <w:b w:val="false"/>
          <w:i/>
          <w:color w:val="000000"/>
          <w:sz w:val="22"/>
        </w:rPr>
        <w:t xml:space="preserve">Pets—policies. </w:t>
      </w:r>
      <w:r>
        <w:rPr>
          <w:rFonts w:ascii="Times New Roman" w:hAnsi="Times New Roman"/>
          <w:b w:val="false"/>
          <w:i w:val="false"/>
          <w:color w:val="000000"/>
          <w:sz w:val="22"/>
        </w:rPr>
        <w:t>Any facility in which a pet is living shall implement written policies and procedures addressing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Vaccination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Veterinary visit schedule;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Housing or sleeping quarters;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Assignment of responsibility for feeding, bathing and cleanup.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65.23(8)</w:t>
      </w:r>
      <w:r>
        <w:rPr>
          <w:rFonts w:ascii="Times New Roman" w:hAnsi="Times New Roman"/>
          <w:b w:val="false"/>
          <w:i w:val="false"/>
          <w:color w:val="000000"/>
          <w:sz w:val="22"/>
        </w:rPr>
        <w:t> </w:t>
      </w:r>
      <w:r>
        <w:rPr>
          <w:rFonts w:ascii="Times New Roman" w:hAnsi="Times New Roman"/>
          <w:b w:val="false"/>
          <w:i/>
          <w:color w:val="000000"/>
          <w:sz w:val="22"/>
        </w:rPr>
        <w:t xml:space="preserve">Maintenance. </w:t>
      </w:r>
      <w:r>
        <w:rPr>
          <w:rFonts w:ascii="Times New Roman" w:hAnsi="Times New Roman"/>
          <w:b w:val="false"/>
          <w:i w:val="false"/>
          <w:color w:val="000000"/>
          <w:sz w:val="22"/>
        </w:rPr>
        <w:t>Each facility shall establish a program to ensure continued maintenance of the facility, to promote good housekeeping procedures, and to ensure sanitary practices throughout. In facilities over 15 beds, this program shall be in writing and be available for review by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buildings, furnishings and grounds shall be maintained in a clean, orderly condition and be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buildings and grounds shall be kept free of flies, other insects, rodents, and their breeding areas.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65.23(9)</w:t>
      </w:r>
      <w:r>
        <w:rPr>
          <w:rFonts w:ascii="Times New Roman" w:hAnsi="Times New Roman"/>
          <w:b w:val="false"/>
          <w:i w:val="false"/>
          <w:color w:val="000000"/>
          <w:sz w:val="22"/>
        </w:rPr>
        <w:t> </w:t>
      </w:r>
      <w:r>
        <w:rPr>
          <w:rFonts w:ascii="Times New Roman" w:hAnsi="Times New Roman"/>
          <w:b w:val="false"/>
          <w:i/>
          <w:color w:val="000000"/>
          <w:sz w:val="22"/>
        </w:rPr>
        <w:t xml:space="preserve">Buildings, furnishings, and equipment.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Battery-operated, portable emergency lights in good working condition shall be available at all times, at a ratio of one light per employee on duty from 6 p.m.</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to 6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windows shall be supplied with curtains and shades or drapes which are kept in good repair.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Wherever glass sliding doors or transparent panels are used, they shall be marked conspicuously and decoratively.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65.23(10)</w:t>
      </w:r>
      <w:r>
        <w:rPr>
          <w:rFonts w:ascii="Times New Roman" w:hAnsi="Times New Roman"/>
          <w:b w:val="false"/>
          <w:i w:val="false"/>
          <w:color w:val="000000"/>
          <w:sz w:val="22"/>
        </w:rPr>
        <w:t> </w:t>
      </w:r>
      <w:r>
        <w:rPr>
          <w:rFonts w:ascii="Times New Roman" w:hAnsi="Times New Roman"/>
          <w:b w:val="false"/>
          <w:i/>
          <w:color w:val="000000"/>
          <w:sz w:val="22"/>
        </w:rPr>
        <w:t xml:space="preserve">Water supply. </w:t>
      </w:r>
      <w:r>
        <w:rPr>
          <w:rFonts w:ascii="Times New Roman" w:hAnsi="Times New Roman"/>
          <w:b w:val="false"/>
          <w:i w:val="false"/>
          <w:color w:val="000000"/>
          <w:sz w:val="22"/>
        </w:rPr>
        <w:t>Every facility shall have an adequate water supply from an approved source. A municipal source of water shall be considered as meeting this requirement. Private sources of water to a facility shall be tested annually and the report submitted with the annual application for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bacterially unsafe source of water shall be grounds for denial, suspension, or revocation of license.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may require testing of private sources of water to a facility at its discretion in addition to the annual test. The facility shall supply reports of tests as directed by the department. (III)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1">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481—65.24</w:t>
      </w:r>
      <w:r>
        <w:rPr>
          <w:rFonts w:ascii="Times New Roman" w:hAnsi="Times New Roman"/>
          <w:b/>
          <w:i w:val="false"/>
          <w:color w:val="000000"/>
          <w:sz w:val="22"/>
        </w:rPr>
        <w:t xml:space="preserve">(135C) </w:t>
      </w:r>
      <w:r>
        <w:rPr>
          <w:rFonts w:ascii="Times New Roman" w:hAnsi="Times New Roman"/>
          <w:b/>
          <w:i w:val="false"/>
          <w:color w:val="000000"/>
          <w:sz w:val="22"/>
        </w:rPr>
        <w:t xml:space="preserve">Care review committee.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1205C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i w:val="false"/>
          <w:color w:val="000000"/>
          <w:sz w:val="22"/>
        </w:rPr>
        <w:t>481—65.25</w:t>
      </w:r>
      <w:r>
        <w:rPr>
          <w:rFonts w:ascii="Times New Roman" w:hAnsi="Times New Roman"/>
          <w:b/>
          <w:i w:val="false"/>
          <w:color w:val="000000"/>
          <w:sz w:val="22"/>
        </w:rPr>
        <w:t xml:space="preserve">(135C) </w:t>
      </w:r>
      <w:r>
        <w:rPr>
          <w:rFonts w:ascii="Times New Roman" w:hAnsi="Times New Roman"/>
          <w:b/>
          <w:i w:val="false"/>
          <w:color w:val="000000"/>
          <w:sz w:val="22"/>
        </w:rPr>
        <w:t xml:space="preserve">Residents’ rights in general. </w:t>
      </w:r>
      <w:r>
        <w:rPr>
          <w:rFonts w:ascii="Times New Roman" w:hAnsi="Times New Roman"/>
          <w:b w:val="false"/>
          <w:i w:val="false"/>
          <w:color w:val="000000"/>
          <w:sz w:val="22"/>
        </w:rPr>
        <w:t xml:space="preserve">Each facility shall ensure that policies and procedures are written and implemented which include at least provisions in subrules </w:t>
      </w:r>
      <w:hyperlink r:id="rId82">
        <w:r>
          <w:rPr>
            <w:rStyle w:val="Hyperlink"/>
            <w:rFonts w:ascii="Times New Roman" w:hAnsi="Times New Roman"/>
            <w:b w:val="false"/>
            <w:i w:val="false"/>
            <w:color w:val="000000"/>
            <w:sz w:val="22"/>
          </w:rPr>
          <w:t>65.25(1)</w:t>
        </w:r>
      </w:hyperlink>
      <w:r>
        <w:rPr>
          <w:rFonts w:ascii="Times New Roman" w:hAnsi="Times New Roman"/>
          <w:b w:val="false"/>
          <w:i w:val="false"/>
          <w:color w:val="000000"/>
          <w:sz w:val="22"/>
        </w:rPr>
        <w:t xml:space="preserve"> to </w:t>
      </w:r>
      <w:hyperlink r:id="rId83">
        <w:r>
          <w:rPr>
            <w:rStyle w:val="Hyperlink"/>
            <w:rFonts w:ascii="Times New Roman" w:hAnsi="Times New Roman"/>
            <w:b w:val="false"/>
            <w:i w:val="false"/>
            <w:color w:val="000000"/>
            <w:sz w:val="22"/>
          </w:rPr>
          <w:t>65.25(21)</w:t>
        </w:r>
      </w:hyperlink>
      <w:r>
        <w:rPr>
          <w:rFonts w:ascii="Times New Roman" w:hAnsi="Times New Roman"/>
          <w:b w:val="false"/>
          <w:i w:val="false"/>
          <w:color w:val="000000"/>
          <w:sz w:val="22"/>
        </w:rPr>
        <w:t>. These shall govern all services provided to staff, residents, their families or legal representatives. The policies and procedures shall be available to the public and shall be reviewed annually.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w:t>
      </w:r>
      <w:r>
        <w:rPr>
          <w:rFonts w:ascii="Times New Roman" w:hAnsi="Times New Roman"/>
          <w:b w:val="false"/>
          <w:i w:val="false"/>
          <w:color w:val="000000"/>
          <w:sz w:val="22"/>
        </w:rPr>
        <w:t> </w:t>
      </w:r>
      <w:r>
        <w:rPr>
          <w:rFonts w:ascii="Times New Roman" w:hAnsi="Times New Roman"/>
          <w:b w:val="false"/>
          <w:i/>
          <w:color w:val="000000"/>
          <w:sz w:val="22"/>
        </w:rPr>
        <w:t xml:space="preserve">Grievances. </w:t>
      </w:r>
      <w:r>
        <w:rPr>
          <w:rFonts w:ascii="Times New Roman" w:hAnsi="Times New Roman"/>
          <w:b w:val="false"/>
          <w:i w:val="false"/>
          <w:color w:val="000000"/>
          <w:sz w:val="22"/>
        </w:rPr>
        <w:t>Written policies and procedures shall include a method for submitting grievances and recommendations by residents or their legal representatives and for ensuring a response and disposition by the facility. The written procedure shall ensure protection of the resident from any form of reprisal or intimidation and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employee or an alternate designated to be responsible for handling grievances and recommendations;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Methods to investigate and assess the validity of a grievance or recommendation; (II)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Methods to resolve grievances and take action.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65.25(2)</w:t>
      </w:r>
      <w:r>
        <w:rPr>
          <w:rFonts w:ascii="Times New Roman" w:hAnsi="Times New Roman"/>
          <w:b w:val="false"/>
          <w:i w:val="false"/>
          <w:color w:val="000000"/>
          <w:sz w:val="22"/>
        </w:rPr>
        <w:t> </w:t>
      </w:r>
      <w:r>
        <w:rPr>
          <w:rFonts w:ascii="Times New Roman" w:hAnsi="Times New Roman"/>
          <w:b w:val="false"/>
          <w:i/>
          <w:color w:val="000000"/>
          <w:sz w:val="22"/>
        </w:rPr>
        <w:t xml:space="preserve">Informed of rights. </w:t>
      </w:r>
      <w:r>
        <w:rPr>
          <w:rFonts w:ascii="Times New Roman" w:hAnsi="Times New Roman"/>
          <w:b w:val="false"/>
          <w:i w:val="false"/>
          <w:color w:val="000000"/>
          <w:sz w:val="22"/>
        </w:rPr>
        <w:t>Policies and procedures shall include a provision that residents be fully informed of their rights and responsibilities as residents and of all rules governing resident conduct and responsibilities. This information must be provided upon admission, or when the facility adopts or amends residents’ rights policies. It shall be posted in locations accessible to all residents.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make known to residents what they may expect from the facility and its staff, and what is expected from residents. The facility shall communicate these expectations during a period not more than two weeks before or later than five days after admission. The communication shall be in writing in a separate handout or brochure describing the facility. It shall be interpreted verbally, as part of a preadmission interview, resident counseling, or in individual or group orientation sessions after admission.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rights and responsibilities shall be presented in language understandable to residents. If the facility serves residents who are non-English-speaking or deaf or hard of hearing, steps shall be taken to translate the information into a foreign or sign language. Blind residents shall be provided either Braille or a recording. Residents shall be encouraged to ask questions about their rights and responsibilities. Their questions shall be answered.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shall be signed by the resident and legal guardian, if applicable, to indicate the resident understands these rights and responsibilities. The statement shall be maintained in the record. The statement shall be signed no later than five days after admission. A copy of the signed statement shall be given to the resident or legal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residents, next of kin, or legal guardian shall be advised within 30 days of changes made in the statement of residents’ rights and responsibilities. Appropriate means shall be used to inform non-English-speaking, deaf or hard-of-hearing, or blind residents of changes.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65.25(3)</w:t>
      </w:r>
      <w:r>
        <w:rPr>
          <w:rFonts w:ascii="Times New Roman" w:hAnsi="Times New Roman"/>
          <w:b w:val="false"/>
          <w:i w:val="false"/>
          <w:color w:val="000000"/>
          <w:sz w:val="22"/>
        </w:rPr>
        <w:t> </w:t>
      </w:r>
      <w:r>
        <w:rPr>
          <w:rFonts w:ascii="Times New Roman" w:hAnsi="Times New Roman"/>
          <w:b w:val="false"/>
          <w:i/>
          <w:color w:val="000000"/>
          <w:sz w:val="22"/>
        </w:rPr>
        <w:t xml:space="preserve">Resident abuse prohibited. </w:t>
      </w:r>
      <w:r>
        <w:rPr>
          <w:rFonts w:ascii="Times New Roman" w:hAnsi="Times New Roman"/>
          <w:b w:val="false"/>
          <w:i w:val="false"/>
          <w:color w:val="000000"/>
          <w:sz w:val="22"/>
        </w:rPr>
        <w:t>Each resident shall receive kind and considerate care at all times and shall be free from physical, sexual, mental and verbal abuse, exploitation, neglect, and physical injury. (I,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65.25(4)</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r>
        <w:rPr>
          <w:rFonts w:ascii="Times New Roman" w:hAnsi="Times New Roman"/>
          <w:b w:val="false"/>
          <w:i w:val="false"/>
          <w:color w:val="000000"/>
          <w:sz w:val="22"/>
        </w:rPr>
        <w:t xml:space="preserve">Allegations of dependent adult abuse shall be reported and investigated pursuant to Iowa Code chapter </w:t>
      </w:r>
      <w:hyperlink r:id="rId84">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65.25(5)</w:t>
      </w:r>
      <w:r>
        <w:rPr>
          <w:rFonts w:ascii="Times New Roman" w:hAnsi="Times New Roman"/>
          <w:b w:val="false"/>
          <w:i w:val="false"/>
          <w:color w:val="000000"/>
          <w:sz w:val="22"/>
        </w:rPr>
        <w:t> </w:t>
      </w:r>
      <w:r>
        <w:rPr>
          <w:rFonts w:ascii="Times New Roman" w:hAnsi="Times New Roman"/>
          <w:b w:val="false"/>
          <w:i/>
          <w:color w:val="000000"/>
          <w:sz w:val="22"/>
        </w:rPr>
        <w:t xml:space="preserve">Report of abuse.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65.25(6)</w:t>
      </w:r>
      <w:r>
        <w:rPr>
          <w:rFonts w:ascii="Times New Roman" w:hAnsi="Times New Roman"/>
          <w:b w:val="false"/>
          <w:i w:val="false"/>
          <w:color w:val="000000"/>
          <w:sz w:val="22"/>
        </w:rPr>
        <w:t> </w:t>
      </w:r>
      <w:r>
        <w:rPr>
          <w:rFonts w:ascii="Times New Roman" w:hAnsi="Times New Roman"/>
          <w:b w:val="false"/>
          <w:i/>
          <w:color w:val="000000"/>
          <w:sz w:val="22"/>
        </w:rPr>
        <w:t xml:space="preserve">Informed of health condition. </w:t>
      </w:r>
      <w:r>
        <w:rPr>
          <w:rFonts w:ascii="Times New Roman" w:hAnsi="Times New Roman"/>
          <w:b w:val="false"/>
          <w:i w:val="false"/>
          <w:color w:val="000000"/>
          <w:sz w:val="22"/>
        </w:rPr>
        <w:t>Each resident or legal guardian shall be fully informed by a physician of the health and medical condition of the resident unless a physician documents reasons not to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65.25(7)</w:t>
      </w:r>
      <w:r>
        <w:rPr>
          <w:rFonts w:ascii="Times New Roman" w:hAnsi="Times New Roman"/>
          <w:b w:val="false"/>
          <w:i w:val="false"/>
          <w:color w:val="000000"/>
          <w:sz w:val="22"/>
        </w:rPr>
        <w:t> </w:t>
      </w:r>
      <w:r>
        <w:rPr>
          <w:rFonts w:ascii="Times New Roman" w:hAnsi="Times New Roman"/>
          <w:b w:val="false"/>
          <w:i/>
          <w:color w:val="000000"/>
          <w:sz w:val="22"/>
        </w:rPr>
        <w:t xml:space="preserve">Research. </w:t>
      </w:r>
      <w:r>
        <w:rPr>
          <w:rFonts w:ascii="Times New Roman" w:hAnsi="Times New Roman"/>
          <w:b w:val="false"/>
          <w:i w:val="false"/>
          <w:color w:val="000000"/>
          <w:sz w:val="22"/>
        </w:rPr>
        <w:t>The resident or legal guardian shall decide whether a resident participates in experimental research. Participation shall occur only when the resident or guardian is fully informed and signs a consent form. (II, III)</w:t>
      </w:r>
    </w:p>
    <w:p>
      <w:pPr>
        <w:spacing w:before="0" w:after="0"/>
        <w:ind w:left="120"/>
        <w:jc w:val="both"/>
      </w:pPr>
      <w:r>
        <w:rPr>
          <w:rFonts w:ascii="Times New Roman" w:hAnsi="Times New Roman"/>
          <w:b w:val="false"/>
          <w:i w:val="false"/>
          <w:color w:val="000000"/>
          <w:sz w:val="22"/>
        </w:rPr>
        <w:t>Any clinical investigation involving residents must be sponsored by an institution with a human subjects review board functioning in accordance with the requirement of Public Law 93-348, as implemented by Part 46 of Title 45 of the Code of Federal Regulations, as amended December 1, 1981 (45 CFR 46).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65.25(8)</w:t>
      </w:r>
      <w:r>
        <w:rPr>
          <w:rFonts w:ascii="Times New Roman" w:hAnsi="Times New Roman"/>
          <w:b w:val="false"/>
          <w:i w:val="false"/>
          <w:color w:val="000000"/>
          <w:sz w:val="22"/>
        </w:rPr>
        <w:t> </w:t>
      </w:r>
      <w:r>
        <w:rPr>
          <w:rFonts w:ascii="Times New Roman" w:hAnsi="Times New Roman"/>
          <w:b w:val="false"/>
          <w:i/>
          <w:color w:val="000000"/>
          <w:sz w:val="22"/>
        </w:rPr>
        <w:t xml:space="preserve">Resident work. </w:t>
      </w:r>
      <w:r>
        <w:rPr>
          <w:rFonts w:ascii="Times New Roman" w:hAnsi="Times New Roman"/>
          <w:b w:val="false"/>
          <w:i w:val="false"/>
          <w:color w:val="000000"/>
          <w:sz w:val="22"/>
        </w:rPr>
        <w:t>Services performed by the resident for the facility shall be in accordance with the IPP.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used to provide a source of labor for the facility against the resident’s will. Physician’s approval is required for all work programs and must be renewed yearly.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individual program plan requires activities for therapeutic or training reasons, the plan for these activities must be professionally developed and implemented. Therapeutic or training goals must be clearly stated and measurable and the plan shall be time limited and reviewed at least quarterly.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resident engaged in work programs in the ICF/PMI shall be paid wages commensurate with wage and hour regulations for comparable work and productivity.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resident shall have the right to employment options commensurate with training and skills.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Residents performing work shall not be used to replace paid employees to fulfill staff requirements.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65.25(9)</w:t>
      </w:r>
      <w:r>
        <w:rPr>
          <w:rFonts w:ascii="Times New Roman" w:hAnsi="Times New Roman"/>
          <w:b w:val="false"/>
          <w:i w:val="false"/>
          <w:color w:val="000000"/>
          <w:sz w:val="22"/>
        </w:rPr>
        <w:t> </w:t>
      </w:r>
      <w:r>
        <w:rPr>
          <w:rFonts w:ascii="Times New Roman" w:hAnsi="Times New Roman"/>
          <w:b w:val="false"/>
          <w:i/>
          <w:color w:val="000000"/>
          <w:sz w:val="22"/>
        </w:rPr>
        <w:t xml:space="preserve">Encouragement to exercise rights. </w:t>
      </w:r>
      <w:r>
        <w:rPr>
          <w:rFonts w:ascii="Times New Roman" w:hAnsi="Times New Roman"/>
          <w:b w:val="false"/>
          <w:i w:val="false"/>
          <w:color w:val="000000"/>
          <w:sz w:val="22"/>
        </w:rPr>
        <w:t>Residents shall be encouraged and assisted throughout their period of stay to exercise resident and citizen rights. Residents may voice grievances and recommend changes in policies and services to administrative staff or to an outside representative of their choice free from interference, coercion, discrimination, or reprisal.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65.25(10)</w:t>
      </w:r>
      <w:r>
        <w:rPr>
          <w:rFonts w:ascii="Times New Roman" w:hAnsi="Times New Roman"/>
          <w:b w:val="false"/>
          <w:i w:val="false"/>
          <w:color w:val="000000"/>
          <w:sz w:val="22"/>
        </w:rPr>
        <w:t> </w:t>
      </w:r>
      <w:r>
        <w:rPr>
          <w:rFonts w:ascii="Times New Roman" w:hAnsi="Times New Roman"/>
          <w:b w:val="false"/>
          <w:i/>
          <w:color w:val="000000"/>
          <w:sz w:val="22"/>
        </w:rPr>
        <w:t xml:space="preserve">Posting of names. </w:t>
      </w:r>
      <w:r>
        <w:rPr>
          <w:rFonts w:ascii="Times New Roman" w:hAnsi="Times New Roman"/>
          <w:b w:val="false"/>
          <w:i w:val="false"/>
          <w:color w:val="000000"/>
          <w:sz w:val="22"/>
        </w:rPr>
        <w:t xml:space="preserve">The facility shall post in a prominent area the name, telephone number, and address of the survey agency, local law enforcement agency, administrator, members of the board of directors, corporate headquarters, and the protection and advocacy agency designated pursuant to Iowa Code section </w:t>
      </w:r>
      <w:hyperlink r:id="rId8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xml:space="preserve"> and the text of Iowa Code section </w:t>
      </w:r>
      <w:hyperlink r:id="rId87">
        <w:r>
          <w:rPr>
            <w:rStyle w:val="Hyperlink"/>
            <w:rFonts w:ascii="Times New Roman" w:hAnsi="Times New Roman"/>
            <w:b w:val="false"/>
            <w:i w:val="false"/>
            <w:color w:val="000000"/>
            <w:sz w:val="22"/>
          </w:rPr>
          <w:t>135C.46</w:t>
        </w:r>
      </w:hyperlink>
      <w:r>
        <w:rPr>
          <w:rFonts w:ascii="Times New Roman" w:hAnsi="Times New Roman"/>
          <w:b w:val="false"/>
          <w:i w:val="false"/>
          <w:color w:val="000000"/>
          <w:sz w:val="22"/>
        </w:rPr>
        <w:t xml:space="preserve"> to provide to residents another course of redress.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65.25(11)</w:t>
      </w:r>
      <w:r>
        <w:rPr>
          <w:rFonts w:ascii="Times New Roman" w:hAnsi="Times New Roman"/>
          <w:b w:val="false"/>
          <w:i w:val="false"/>
          <w:color w:val="000000"/>
          <w:sz w:val="22"/>
        </w:rPr>
        <w:t> </w:t>
      </w:r>
      <w:r>
        <w:rPr>
          <w:rFonts w:ascii="Times New Roman" w:hAnsi="Times New Roman"/>
          <w:b w:val="false"/>
          <w:i/>
          <w:color w:val="000000"/>
          <w:sz w:val="22"/>
        </w:rPr>
        <w:t xml:space="preserve">Dignity preserved. </w:t>
      </w:r>
      <w:r>
        <w:rPr>
          <w:rFonts w:ascii="Times New Roman" w:hAnsi="Times New Roman"/>
          <w:b w:val="false"/>
          <w:i w:val="false"/>
          <w:color w:val="000000"/>
          <w:sz w:val="22"/>
        </w:rPr>
        <w:t>Residents shall be treated with consideration, respect, and full recognition of their dignity and individuality, including privacy in treatment and in care of personal needs.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Staff shall display respect for residents when speaking with, caring for, or talking about them as constant affirmation of the individuality and dignity of human beings.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Schedules of daily activities shall allow maximum flexibility for residents to exercise choice about what they will do and when they will do it. Residents’ individual preferences regarding such things as menus, clothing, religious activities, friendships, activity programs, entertainment, sleeping, eating, and times to retire at night and arise in the morning shall be elicited and considered by the facility. The facility shall make every effort to match nonsmokers with other nonsmokers.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Residents shall not have their personal lives regulated beyond reasonable adherence to meal schedules, bedtime hours, and other written policies which may be necessary for the orderly management of the facility and as required by these rules; however, residents shall be encouraged to participate in recreational programs.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Residents shall be examined and treated in a manner that maintains the privacy of their bodies. A closed door shall shield the resident from passersby. People not involved in the care of a resident shall not be present without the resident’s consent during examination or treatment.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Privacy for each person shall be maintained when residents are being taken to the toilet or being bathed and while they are being helped with other types of personal hygiene, except as needed for resident safety or assistance.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Staff shall knock and be acknowledged before entering a resident’s room unless the resident is not capable of response. This does not apply under emergency conditions.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65.25(12)</w:t>
      </w:r>
      <w:r>
        <w:rPr>
          <w:rFonts w:ascii="Times New Roman" w:hAnsi="Times New Roman"/>
          <w:b w:val="false"/>
          <w:i w:val="false"/>
          <w:color w:val="000000"/>
          <w:sz w:val="22"/>
        </w:rPr>
        <w:t> </w:t>
      </w:r>
      <w:r>
        <w:rPr>
          <w:rFonts w:ascii="Times New Roman" w:hAnsi="Times New Roman"/>
          <w:b w:val="false"/>
          <w:i/>
          <w:color w:val="000000"/>
          <w:sz w:val="22"/>
        </w:rPr>
        <w:t xml:space="preserve">Communications. </w:t>
      </w:r>
      <w:r>
        <w:rPr>
          <w:rFonts w:ascii="Times New Roman" w:hAnsi="Times New Roman"/>
          <w:b w:val="false"/>
          <w:i w:val="false"/>
          <w:color w:val="000000"/>
          <w:sz w:val="22"/>
        </w:rPr>
        <w:t>Each resident may communicate, associate, and meet privately with persons of the resident’s choice, unless to do so would infringe upon the rights of other residents. Each resident may send and receive personal mail unopened unless prohibited in the IPP which has explicit approval of the resident or legal guardian. Telephones consistent with ANSI standards 42 CFR 405.1134(c) (10-1-86) shall be available and accessible for residents to make and receive calls with privacy. Residents who need help shall be assisted in using the telephone. (II)</w:t>
      </w:r>
    </w:p>
    <w:p>
      <w:pPr>
        <w:spacing w:before="0" w:after="0"/>
        <w:ind w:left="120"/>
        <w:jc w:val="both"/>
      </w:pPr>
      <w:r>
        <w:rPr>
          <w:rFonts w:ascii="Times New Roman" w:hAnsi="Times New Roman"/>
          <w:b w:val="false"/>
          <w:i w:val="false"/>
          <w:color w:val="000000"/>
          <w:sz w:val="22"/>
        </w:rPr>
        <w:t>Arrangements shall be made to provide assistance to residents who require help in reading or sending mail.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65.25(13)</w:t>
      </w:r>
      <w:r>
        <w:rPr>
          <w:rFonts w:ascii="Times New Roman" w:hAnsi="Times New Roman"/>
          <w:b w:val="false"/>
          <w:i w:val="false"/>
          <w:color w:val="000000"/>
          <w:sz w:val="22"/>
        </w:rPr>
        <w:t> </w:t>
      </w:r>
      <w:r>
        <w:rPr>
          <w:rFonts w:ascii="Times New Roman" w:hAnsi="Times New Roman"/>
          <w:b w:val="false"/>
          <w:i/>
          <w:color w:val="000000"/>
          <w:sz w:val="22"/>
        </w:rPr>
        <w:t xml:space="preserve">Visiting policies and procedures. </w:t>
      </w:r>
      <w:r>
        <w:rPr>
          <w:rFonts w:ascii="Times New Roman" w:hAnsi="Times New Roman"/>
          <w:b w:val="false"/>
          <w:i w:val="false"/>
          <w:color w:val="000000"/>
          <w:sz w:val="22"/>
        </w:rPr>
        <w:t>Subject to reasonable scheduling restrictions, visiting policies and procedures shall permit residents to receive visits from anyone they wish. Visiting hours shall be posted.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Reasonable, regular visiting hours shall not be less than 12 hours per day and shall take into consideration the special circumstances of each visitor. A particular visitor(s) may be restricted by the facility for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refuses to see the visitor(s).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visit would not be in accordance with the IPP.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visitor’s behavior is unreasonably disruptive to the functioning of the facility. (II)</w:t>
      </w:r>
    </w:p>
    <w:p>
      <w:pPr>
        <w:spacing w:before="0" w:after="0"/>
        <w:ind w:left="120"/>
        <w:jc w:val="both"/>
      </w:pPr>
      <w:r>
        <w:rPr>
          <w:rFonts w:ascii="Times New Roman" w:hAnsi="Times New Roman"/>
          <w:b w:val="false"/>
          <w:i w:val="false"/>
          <w:color w:val="000000"/>
          <w:sz w:val="22"/>
        </w:rPr>
        <w:t>Reasons for denial of visitation shall be documented in resident records.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to restrict a visitor shall be reevaluated at least quarterly by the QMHP or at the resident’s request.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Space shall be provided for residents to receive visitors in comfort and privacy.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65.25(14)</w:t>
      </w:r>
      <w:r>
        <w:rPr>
          <w:rFonts w:ascii="Times New Roman" w:hAnsi="Times New Roman"/>
          <w:b w:val="false"/>
          <w:i w:val="false"/>
          <w:color w:val="000000"/>
          <w:sz w:val="22"/>
        </w:rPr>
        <w:t> </w:t>
      </w:r>
      <w:r>
        <w:rPr>
          <w:rFonts w:ascii="Times New Roman" w:hAnsi="Times New Roman"/>
          <w:b w:val="false"/>
          <w:i/>
          <w:color w:val="000000"/>
          <w:sz w:val="22"/>
        </w:rPr>
        <w:t xml:space="preserve">Resident activities. </w:t>
      </w:r>
      <w:r>
        <w:rPr>
          <w:rFonts w:ascii="Times New Roman" w:hAnsi="Times New Roman"/>
          <w:b w:val="false"/>
          <w:i w:val="false"/>
          <w:color w:val="000000"/>
          <w:sz w:val="22"/>
        </w:rPr>
        <w:t>Each resident may participate in activities of social, religious, and community groups as desired unless contraindicated for reasons documented by the attending physician or qualified mental health professional, as appropriate, in the resident’s record. (II)</w:t>
      </w:r>
    </w:p>
    <w:p>
      <w:pPr>
        <w:spacing w:before="0" w:after="0"/>
        <w:ind w:left="120"/>
        <w:jc w:val="both"/>
      </w:pPr>
      <w:r>
        <w:rPr>
          <w:rFonts w:ascii="Times New Roman" w:hAnsi="Times New Roman"/>
          <w:b w:val="false"/>
          <w:i w:val="false"/>
          <w:color w:val="000000"/>
          <w:sz w:val="22"/>
        </w:rPr>
        <w:t>Residents who wish to meet with or participate in activities of social, religious or community groups in or outside the facility shall be informed, encouraged, and assisted to do so. (II)</w:t>
      </w:r>
    </w:p>
    <w:p>
      <w:pPr>
        <w:spacing w:before="0" w:after="0"/>
        <w:ind w:left="120"/>
        <w:jc w:val="both"/>
      </w:pPr>
      <w:r>
        <w:rPr>
          <w:rFonts w:ascii="Times New Roman" w:hAnsi="Times New Roman"/>
          <w:b w:val="false"/>
          <w:i w:val="false"/>
          <w:color w:val="000000"/>
          <w:sz w:val="22"/>
        </w:rPr>
        <w:t>Residents shall be permitted to leave the facility and environs at reasonable times unless there are justifiable reasons established in writing by the attending physician, QMHP, or facility administrator for refusing permission.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65.25(15)</w:t>
      </w:r>
      <w:r>
        <w:rPr>
          <w:rFonts w:ascii="Times New Roman" w:hAnsi="Times New Roman"/>
          <w:b w:val="false"/>
          <w:i w:val="false"/>
          <w:color w:val="000000"/>
          <w:sz w:val="22"/>
        </w:rPr>
        <w:t> </w:t>
      </w:r>
      <w:r>
        <w:rPr>
          <w:rFonts w:ascii="Times New Roman" w:hAnsi="Times New Roman"/>
          <w:b w:val="false"/>
          <w:i/>
          <w:color w:val="000000"/>
          <w:sz w:val="22"/>
        </w:rPr>
        <w:t xml:space="preserve">Resident property. </w:t>
      </w:r>
      <w:r>
        <w:rPr>
          <w:rFonts w:ascii="Times New Roman" w:hAnsi="Times New Roman"/>
          <w:b w:val="false"/>
          <w:i w:val="false"/>
          <w:color w:val="000000"/>
          <w:sz w:val="22"/>
        </w:rPr>
        <w:t>Each resident may retain and use personal clothing and possessions as space permits and provided use is not otherwise prohibited in these rules.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be permitted to keep reasonable amounts of personal clothing and possessions for their use while in the facility. The personal property shall be kept in a secure location which is convenient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Residents shall be advised, prior to or at the time of admission, of the kinds and amounts of clothing and possessions permitted for personal use, and whether the facility will accept responsibility for maintaining these items, e.g., cleaning and laundry.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personal clothing or possession retained by the facility for the resident shall be identified and recorded on admission and the record placed on the resident’s chart. The facility shall be responsible for secure storage of items. They shall be returned to the resident promptly upon request or upon discharge from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65.25(16)</w:t>
      </w:r>
      <w:r>
        <w:rPr>
          <w:rFonts w:ascii="Times New Roman" w:hAnsi="Times New Roman"/>
          <w:b w:val="false"/>
          <w:i w:val="false"/>
          <w:color w:val="000000"/>
          <w:sz w:val="22"/>
        </w:rPr>
        <w:t> </w:t>
      </w:r>
      <w:r>
        <w:rPr>
          <w:rFonts w:ascii="Times New Roman" w:hAnsi="Times New Roman"/>
          <w:b w:val="false"/>
          <w:i/>
          <w:color w:val="000000"/>
          <w:sz w:val="22"/>
        </w:rPr>
        <w:t xml:space="preserve">Sharing rooms. </w:t>
      </w:r>
      <w:r>
        <w:rPr>
          <w:rFonts w:ascii="Times New Roman" w:hAnsi="Times New Roman"/>
          <w:b w:val="false"/>
          <w:i w:val="false"/>
          <w:color w:val="000000"/>
          <w:sz w:val="22"/>
        </w:rPr>
        <w:t>Residents, including spouses staying in the same facility, shall be permitted to share a room, if available, if requested by both parties, unless reasons to the contrary are in the IPP. Reasons for denial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65.25(17)</w:t>
      </w:r>
      <w:r>
        <w:rPr>
          <w:rFonts w:ascii="Times New Roman" w:hAnsi="Times New Roman"/>
          <w:b w:val="false"/>
          <w:i w:val="false"/>
          <w:color w:val="000000"/>
          <w:sz w:val="22"/>
        </w:rPr>
        <w:t> </w:t>
      </w:r>
      <w:r>
        <w:rPr>
          <w:rFonts w:ascii="Times New Roman" w:hAnsi="Times New Roman"/>
          <w:b w:val="false"/>
          <w:i/>
          <w:color w:val="000000"/>
          <w:sz w:val="22"/>
        </w:rPr>
        <w:t xml:space="preserve">Choice of physician and pharmacy. </w:t>
      </w:r>
      <w:r>
        <w:rPr>
          <w:rFonts w:ascii="Times New Roman" w:hAnsi="Times New Roman"/>
          <w:b w:val="false"/>
          <w:i w:val="false"/>
          <w:color w:val="000000"/>
          <w:sz w:val="22"/>
        </w:rPr>
        <w:t>Each resident shall be permitted free choice of a physician and a pharmacy. The facility may require the pharmacy selected to use a drug distribution system compatible with the system currently used by the facility. (II)</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88">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Iowa Code chapter </w:t>
      </w:r>
      <w:hyperlink r:id="rId89">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5711C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481—65.26</w:t>
      </w:r>
      <w:r>
        <w:rPr>
          <w:rFonts w:ascii="Times New Roman" w:hAnsi="Times New Roman"/>
          <w:b/>
          <w:i w:val="false"/>
          <w:color w:val="000000"/>
          <w:sz w:val="22"/>
        </w:rPr>
        <w:t xml:space="preserve">(135C) </w:t>
      </w:r>
      <w:r>
        <w:rPr>
          <w:rFonts w:ascii="Times New Roman" w:hAnsi="Times New Roman"/>
          <w:b/>
          <w:i w:val="false"/>
          <w:color w:val="000000"/>
          <w:sz w:val="22"/>
        </w:rPr>
        <w:t xml:space="preserve">Incompetent residents. </w:t>
      </w:r>
      <w:r>
        <w:rPr>
          <w:rFonts w:ascii="Times New Roman" w:hAnsi="Times New Roman"/>
          <w:b w:val="false"/>
          <w:i w:val="false"/>
          <w:color w:val="000000"/>
          <w:sz w:val="22"/>
        </w:rPr>
        <w:t>Each facility shall provide that all rights and responsibilities of incompetent residents devolve to the legal guardian when a hearing has been held and the resident is judged incompetent in accordance with state law. (II)</w:t>
      </w:r>
    </w:p>
    <w:p>
      <w:pPr>
        <w:spacing w:before="0" w:after="0"/>
        <w:ind w:left="120"/>
        <w:jc w:val="both"/>
      </w:pPr>
      <w:r>
        <w:rPr>
          <w:rFonts w:ascii="Times New Roman" w:hAnsi="Times New Roman"/>
          <w:b w:val="false"/>
          <w:i w:val="false"/>
          <w:color w:val="000000"/>
          <w:sz w:val="22"/>
        </w:rPr>
        <w:t>A facility is not absolved from advising incompetent residents of their rights to the extent the resident is able to understand them. The facility shall also advise the legal guardian, if any, and acquire a statement indicating an understanding of resident’s rights. (II)</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0">
        <w:r>
          <w:rPr>
            <w:rStyle w:val="Hyperlink"/>
            <w:rFonts w:ascii="Times New Roman" w:hAnsi="Times New Roman"/>
            <w:b w:val="false"/>
            <w:i w:val="false"/>
            <w:color w:val="000000"/>
            <w:sz w:val="22"/>
          </w:rPr>
          <w:t>135C.14(8)</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481—65.27</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In addition to these rules, county care facilities licensed as intermediate care facilities for persons with mental illness must also comply with department of human services rules </w:t>
      </w:r>
      <w:hyperlink r:id="rId92">
        <w:r>
          <w:rPr>
            <w:rStyle w:val="Hyperlink"/>
            <w:rFonts w:ascii="Times New Roman" w:hAnsi="Times New Roman"/>
            <w:b w:val="false"/>
            <w:i w:val="false"/>
            <w:color w:val="000000"/>
            <w:sz w:val="22"/>
          </w:rPr>
          <w:t>441—Chapter 37</w:t>
        </w:r>
      </w:hyperlink>
      <w:r>
        <w:rPr>
          <w:rFonts w:ascii="Times New Roman" w:hAnsi="Times New Roman"/>
          <w:b w:val="false"/>
          <w:i w:val="false"/>
          <w:color w:val="000000"/>
          <w:sz w:val="22"/>
        </w:rPr>
        <w:t xml:space="preserve">. Violation of any standard established by the department of human services is a Class II violation pursuant to </w:t>
      </w:r>
      <w:hyperlink r:id="rId93">
        <w:r>
          <w:rPr>
            <w:rStyle w:val="Hyperlink"/>
            <w:rFonts w:ascii="Times New Roman" w:hAnsi="Times New Roman"/>
            <w:b w:val="false"/>
            <w:i w:val="false"/>
            <w:color w:val="000000"/>
            <w:sz w:val="22"/>
          </w:rPr>
          <w:t>481—56.2</w:t>
        </w:r>
      </w:hyperlink>
      <w:r>
        <w:rPr>
          <w:rFonts w:ascii="Times New Roman" w:hAnsi="Times New Roman"/>
          <w:b w:val="false"/>
          <w:i w:val="false"/>
          <w:color w:val="000000"/>
          <w:sz w:val="22"/>
        </w:rPr>
        <w:t>(135C).</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94">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481—65.28</w:t>
      </w:r>
      <w:r>
        <w:rPr>
          <w:rFonts w:ascii="Times New Roman" w:hAnsi="Times New Roman"/>
          <w:b/>
          <w:i w:val="false"/>
          <w:color w:val="000000"/>
          <w:sz w:val="22"/>
        </w:rPr>
        <w:t xml:space="preserve">(135C) </w:t>
      </w:r>
      <w:r>
        <w:rPr>
          <w:rFonts w:ascii="Times New Roman" w:hAnsi="Times New Roman"/>
          <w:b/>
          <w:i w:val="false"/>
          <w:color w:val="000000"/>
          <w:sz w:val="22"/>
        </w:rPr>
        <w:t xml:space="preserve">Violations. </w:t>
      </w:r>
      <w:r>
        <w:rPr>
          <w:rFonts w:ascii="Times New Roman" w:hAnsi="Times New Roman"/>
          <w:b w:val="false"/>
          <w:i w:val="false"/>
          <w:color w:val="000000"/>
          <w:sz w:val="22"/>
        </w:rPr>
        <w:t xml:space="preserve">Classification of violations is I, II and III, determined by the division using the provisions in </w:t>
      </w:r>
      <w:hyperlink r:id="rId95">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“Fining and Citations,” to enforce a fine to cite a facility.</w:t>
      </w:r>
    </w:p>
    <w:p>
      <w:pPr>
        <w:spacing w:before="0" w:after="0"/>
        <w:ind w:left="120"/>
        <w:jc w:val="both"/>
      </w:pPr>
      <w:r>
        <w:rPr>
          <w:rFonts w:ascii="Times New Roman" w:hAnsi="Times New Roman"/>
          <w:b/>
          <w:i w:val="false"/>
          <w:color w:val="000000"/>
          <w:sz w:val="22"/>
        </w:rPr>
        <w:t>481—65.29</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of this rule.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65.29(3)</w:t>
      </w:r>
      <w:r>
        <w:rPr>
          <w:rFonts w:ascii="Times New Roman" w:hAnsi="Times New Roman"/>
          <w:b w:val="false"/>
          <w:i w:val="false"/>
          <w:color w:val="000000"/>
          <w:sz w:val="22"/>
        </w:rPr>
        <w:t> </w:t>
      </w:r>
      <w:r>
        <w:rPr>
          <w:rFonts w:ascii="Times New Roman" w:hAnsi="Times New Roman"/>
          <w:b w:val="false"/>
          <w:i w:val="false"/>
          <w:color w:val="000000"/>
          <w:sz w:val="22"/>
        </w:rPr>
        <w:t xml:space="preserve">A business or activity conducted in a health care facility or in the same physical structure as a health care facility shall not reduce space, services or staff available to residents below minimums required in these rules and </w:t>
      </w:r>
      <w:hyperlink r:id="rId96">
        <w:r>
          <w:rPr>
            <w:rStyle w:val="Hyperlink"/>
            <w:rFonts w:ascii="Times New Roman" w:hAnsi="Times New Roman"/>
            <w:b w:val="false"/>
            <w:i w:val="false"/>
            <w:color w:val="000000"/>
            <w:sz w:val="22"/>
          </w:rPr>
          <w:t>481—Chapter 61</w:t>
        </w:r>
      </w:hyperlink>
      <w:r>
        <w:rPr>
          <w:rFonts w:ascii="Times New Roman" w:hAnsi="Times New Roman"/>
          <w:b w:val="false"/>
          <w:i w:val="false"/>
          <w:color w:val="000000"/>
          <w:sz w:val="22"/>
        </w:rPr>
        <w:t>. (I, II, III)</w:t>
      </w:r>
    </w:p>
    <w:p>
      <w:pPr>
        <w:spacing w:before="0" w:after="0"/>
        <w:ind w:left="120"/>
        <w:jc w:val="both"/>
      </w:pPr>
      <w:r>
        <w:rPr>
          <w:rFonts w:ascii="Times New Roman" w:hAnsi="Times New Roman"/>
          <w:b/>
          <w:i w:val="false"/>
          <w:color w:val="000000"/>
          <w:sz w:val="22"/>
        </w:rPr>
        <w:t>481—65.30</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facility which chooses to provide respite care services must meet the following requirements related to respite care services and must be licensed as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65.30(1)</w:t>
      </w:r>
      <w:r>
        <w:rPr>
          <w:rFonts w:ascii="Times New Roman" w:hAnsi="Times New Roman"/>
          <w:b w:val="false"/>
          <w:i w:val="false"/>
          <w:color w:val="000000"/>
          <w:sz w:val="22"/>
        </w:rPr>
        <w:t> </w:t>
      </w:r>
      <w:r>
        <w:rPr>
          <w:rFonts w:ascii="Times New Roman" w:hAnsi="Times New Roman"/>
          <w:b w:val="false"/>
          <w:i w:val="false"/>
          <w:color w:val="000000"/>
          <w:sz w:val="22"/>
        </w:rPr>
        <w:t>A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65.30(2)</w:t>
      </w:r>
      <w:r>
        <w:rPr>
          <w:rFonts w:ascii="Times New Roman" w:hAnsi="Times New Roman"/>
          <w:b w:val="false"/>
          <w:i w:val="false"/>
          <w:color w:val="000000"/>
          <w:sz w:val="22"/>
        </w:rPr>
        <w:t> </w:t>
      </w:r>
      <w:r>
        <w:rPr>
          <w:rFonts w:ascii="Times New Roman" w:hAnsi="Times New Roman"/>
          <w:b w:val="false"/>
          <w:i w:val="false"/>
          <w:color w:val="000000"/>
          <w:sz w:val="22"/>
        </w:rPr>
        <w:t>Rules regarding involuntary discharge or transfer rights do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for contracts between a health care facility and resident, except the requirements concerning the holding and charging for a bed when a resident is hospitalized or leaves the facility temporarily for recreational or therapeutic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65.30(4)</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facility to persons requiring a level of care which is higher than the level of care the facility is licensed to provide.</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97">
        <w:r>
          <w:rPr>
            <w:rStyle w:val="Hyperlink"/>
            <w:rFonts w:ascii="Times New Roman" w:hAnsi="Times New Roman"/>
            <w:b w:val="false"/>
            <w:i w:val="false"/>
            <w:color w:val="000000"/>
            <w:sz w:val="22"/>
          </w:rPr>
          <w:t>135C.2(6)</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135C.4</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135C.6(2)</w:t>
        </w:r>
      </w:hyperlink>
      <w:r>
        <w:rPr>
          <w:rFonts w:ascii="Times New Roman" w:hAnsi="Times New Roman"/>
          <w:b w:val="false"/>
          <w:i w:val="false"/>
          <w:color w:val="000000"/>
          <w:sz w:val="22"/>
        </w:rPr>
        <w:t xml:space="preserve">, </w:t>
      </w:r>
      <w:hyperlink r:id="rId100">
        <w:r>
          <w:rPr>
            <w:rStyle w:val="Hyperlink"/>
            <w:rFonts w:ascii="Times New Roman" w:hAnsi="Times New Roman"/>
            <w:b w:val="false"/>
            <w:i w:val="false"/>
            <w:color w:val="000000"/>
            <w:sz w:val="22"/>
          </w:rPr>
          <w:t>135C.6(3)</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135C.7</w:t>
        </w:r>
      </w:hyperlink>
      <w:r>
        <w:rPr>
          <w:rFonts w:ascii="Times New Roman" w:hAnsi="Times New Roman"/>
          <w:b w:val="false"/>
          <w:i w:val="false"/>
          <w:color w:val="000000"/>
          <w:sz w:val="22"/>
        </w:rPr>
        <w:t xml:space="preserve">, </w:t>
      </w:r>
      <w:hyperlink r:id="rId102">
        <w:r>
          <w:rPr>
            <w:rStyle w:val="Hyperlink"/>
            <w:rFonts w:ascii="Times New Roman" w:hAnsi="Times New Roman"/>
            <w:b w:val="false"/>
            <w:i w:val="false"/>
            <w:color w:val="000000"/>
            <w:sz w:val="22"/>
          </w:rPr>
          <w:t>135C.8</w:t>
        </w:r>
      </w:hyperlink>
      <w:r>
        <w:rPr>
          <w:rFonts w:ascii="Times New Roman" w:hAnsi="Times New Roman"/>
          <w:b w:val="false"/>
          <w:i w:val="false"/>
          <w:color w:val="000000"/>
          <w:sz w:val="22"/>
        </w:rPr>
        <w:t xml:space="preserve">, </w:t>
      </w:r>
      <w:hyperlink r:id="rId103">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w:t>
      </w:r>
      <w:hyperlink r:id="rId104">
        <w:r>
          <w:rPr>
            <w:rStyle w:val="Hyperlink"/>
            <w:rFonts w:ascii="Times New Roman" w:hAnsi="Times New Roman"/>
            <w:b w:val="false"/>
            <w:i w:val="false"/>
            <w:color w:val="000000"/>
            <w:sz w:val="22"/>
          </w:rPr>
          <w:t>135C.16(2)</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xml:space="preserve">, </w:t>
      </w:r>
      <w:hyperlink r:id="rId106">
        <w:r>
          <w:rPr>
            <w:rStyle w:val="Hyperlink"/>
            <w:rFonts w:ascii="Times New Roman" w:hAnsi="Times New Roman"/>
            <w:b w:val="false"/>
            <w:i w:val="false"/>
            <w:color w:val="000000"/>
            <w:sz w:val="22"/>
          </w:rPr>
          <w:t>135C.24</w:t>
        </w:r>
      </w:hyperlink>
      <w:r>
        <w:rPr>
          <w:rFonts w:ascii="Times New Roman" w:hAnsi="Times New Roman"/>
          <w:b w:val="false"/>
          <w:i w:val="false"/>
          <w:color w:val="000000"/>
          <w:sz w:val="22"/>
        </w:rPr>
        <w:t xml:space="preserve">, </w:t>
      </w:r>
      <w:hyperlink r:id="rId107">
        <w:r>
          <w:rPr>
            <w:rStyle w:val="Hyperlink"/>
            <w:rFonts w:ascii="Times New Roman" w:hAnsi="Times New Roman"/>
            <w:b w:val="false"/>
            <w:i w:val="false"/>
            <w:color w:val="000000"/>
            <w:sz w:val="22"/>
          </w:rPr>
          <w:t>135C.25</w:t>
        </w:r>
      </w:hyperlink>
      <w:r>
        <w:rPr>
          <w:rFonts w:ascii="Times New Roman" w:hAnsi="Times New Roman"/>
          <w:b w:val="false"/>
          <w:i w:val="false"/>
          <w:color w:val="000000"/>
          <w:sz w:val="22"/>
        </w:rPr>
        <w:t xml:space="preserve">, </w:t>
      </w:r>
      <w:hyperlink r:id="rId108">
        <w:r>
          <w:rPr>
            <w:rStyle w:val="Hyperlink"/>
            <w:rFonts w:ascii="Times New Roman" w:hAnsi="Times New Roman"/>
            <w:b w:val="false"/>
            <w:i w:val="false"/>
            <w:color w:val="000000"/>
            <w:sz w:val="22"/>
          </w:rPr>
          <w:t>135C.31</w:t>
        </w:r>
      </w:hyperlink>
      <w:r>
        <w:rPr>
          <w:rFonts w:ascii="Times New Roman" w:hAnsi="Times New Roman"/>
          <w:b w:val="false"/>
          <w:i w:val="false"/>
          <w:color w:val="000000"/>
          <w:sz w:val="22"/>
        </w:rPr>
        <w:t xml:space="preserve">, and </w:t>
      </w:r>
      <w:hyperlink r:id="rId109">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11/20/91, Notice 8/7/91—published 12/11/91, effective 1/15/92]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7/9/98, Notice 4/22/98—published 7/29/98, effective 9/2/98]</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9/20/06, Notice 8/2/06—published 10/11/06, effective 11/15/06]</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ARC 0663C</w:t>
      </w:r>
      <w:r>
        <w:rPr>
          <w:rFonts w:ascii="Times New Roman" w:hAnsi="Times New Roman"/>
          <w:b w:val="false"/>
          <w:i w:val="false"/>
          <w:color w:val="000000"/>
          <w:sz w:val="21"/>
        </w:rPr>
        <w:t xml:space="preserve"> (Notice ARC 0513C, IAB 12/12/12)</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0766C</w:t>
      </w:r>
      <w:r>
        <w:rPr>
          <w:rFonts w:ascii="Times New Roman" w:hAnsi="Times New Roman"/>
          <w:b w:val="false"/>
          <w:i w:val="false"/>
          <w:color w:val="000000"/>
          <w:sz w:val="21"/>
        </w:rPr>
        <w:t xml:space="preserve"> (Notice ARC 0601C,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p>
    <w:p>
      <w:pPr>
        <w:spacing w:before="0" w:after="0"/>
        <w:ind w:left="120"/>
        <w:jc w:val="center"/>
      </w:pPr>
      <w:r>
        <w:rPr>
          <w:rFonts w:ascii="Times New Roman" w:hAnsi="Times New Roman"/>
          <w:b w:val="false"/>
          <w:i w:val="false"/>
          <w:color w:val="000000"/>
          <w:sz w:val="21"/>
        </w:rPr>
        <w:t>[Filed ARC 1050C</w:t>
      </w:r>
      <w:r>
        <w:rPr>
          <w:rFonts w:ascii="Times New Roman" w:hAnsi="Times New Roman"/>
          <w:b w:val="false"/>
          <w:i w:val="false"/>
          <w:color w:val="000000"/>
          <w:sz w:val="21"/>
        </w:rPr>
        <w:t xml:space="preserve"> (Notice ARC 0907C,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5711C</w:t>
      </w:r>
      <w:r>
        <w:rPr>
          <w:rFonts w:ascii="Times New Roman" w:hAnsi="Times New Roman"/>
          <w:b w:val="false"/>
          <w:i w:val="false"/>
          <w:color w:val="000000"/>
          <w:sz w:val="21"/>
        </w:rPr>
        <w:t xml:space="preserve"> (Notice ARC 5567C, IAB 4/21/21)</w:t>
      </w:r>
      <w:r>
        <w:rPr>
          <w:rFonts w:ascii="Times New Roman" w:hAnsi="Times New Roman"/>
          <w:b w:val="false"/>
          <w:i w:val="false"/>
          <w:color w:val="000000"/>
          <w:sz w:val="21"/>
        </w:rPr>
        <w:t>, IAB 6/16/21, effective 7/21/21]</w:t>
      </w:r>
      <w:r>
        <w:br/>
      </w: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6974C</w:t>
      </w:r>
      <w:r>
        <w:rPr>
          <w:rFonts w:ascii="Times New Roman" w:hAnsi="Times New Roman"/>
          <w:b w:val="false"/>
          <w:i w:val="false"/>
          <w:color w:val="000000"/>
          <w:sz w:val="21"/>
        </w:rPr>
        <w:t xml:space="preserve"> (Notice ARC 6834C, IAB 1/25/23)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6/10/26]</w:t>
      </w:r>
    </w:p>
    <w:sectPr>
      <w:footerReference r:id="rId1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C.1.pdf" Type="http://schemas.openxmlformats.org/officeDocument/2006/relationships/hyperlink" Id="rId5"/>
    <Relationship TargetMode="External" Target="https://www.legis.iowa.gov/docs/iac/rule/481.52.1.pdf" Type="http://schemas.openxmlformats.org/officeDocument/2006/relationships/hyperlink" Id="rId6"/>
    <Relationship TargetMode="External" Target="https://www.legis.iowa.gov/docs/ico/chapter/225C.5.pdf" Type="http://schemas.openxmlformats.org/officeDocument/2006/relationships/hyperlink" Id="rId7"/>
    <Relationship TargetMode="External" Target="https://www.legis.iowa.gov/docs/iac/chapter/655.7.pdf" Type="http://schemas.openxmlformats.org/officeDocument/2006/relationships/hyperlink" Id="rId8"/>
    <Relationship TargetMode="External" Target="https://www.legis.iowa.gov/docs/iac/rule/481.65.4.pdf" Type="http://schemas.openxmlformats.org/officeDocument/2006/relationships/hyperlink" Id="rId9"/>
    <Relationship TargetMode="External" Target="https://www.legis.iowa.gov/docs/ico/chapter/709.pdf" Type="http://schemas.openxmlformats.org/officeDocument/2006/relationships/hyperlink" Id="rId10"/>
    <Relationship TargetMode="External" Target="https://www.legis.iowa.gov/docs/ico/chapter/726.2.pdf" Type="http://schemas.openxmlformats.org/officeDocument/2006/relationships/hyperlink" Id="rId11"/>
    <Relationship TargetMode="External" Target="https://www.legis.iowa.gov/docs/ico/chapter/135C.pdf" Type="http://schemas.openxmlformats.org/officeDocument/2006/relationships/hyperlink" Id="rId12"/>
    <Relationship TargetMode="External" Target="https://www.legis.iowa.gov/docs/iac/chapter/481.61.pdf" Type="http://schemas.openxmlformats.org/officeDocument/2006/relationships/hyperlink" Id="rId13"/>
    <Relationship TargetMode="External" Target="https://www.legis.iowa.gov/docs/iac/chapter/481.61.pdf" Type="http://schemas.openxmlformats.org/officeDocument/2006/relationships/hyperlink" Id="rId14"/>
    <Relationship TargetMode="External" Target="https://www.legis.iowa.gov/docs/iac/rule/481.61.2.pdf" Type="http://schemas.openxmlformats.org/officeDocument/2006/relationships/hyperlink" Id="rId15"/>
    <Relationship TargetMode="External" Target="https://www.legis.iowa.gov/docs/iac/rule/481.65.2.pdf" Type="http://schemas.openxmlformats.org/officeDocument/2006/relationships/hyperlink" Id="rId16"/>
    <Relationship TargetMode="External" Target="https://www.legis.iowa.gov/docs/ico/chapter/135C.7.pdf" Type="http://schemas.openxmlformats.org/officeDocument/2006/relationships/hyperlink" Id="rId17"/>
    <Relationship TargetMode="External" Target="https://www.legis.iowa.gov/docs/ico/chapter/135C.9.pdf" Type="http://schemas.openxmlformats.org/officeDocument/2006/relationships/hyperlink" Id="rId18"/>
    <Relationship TargetMode="External" Target="https://www.legis.iowa.gov/docs/ico/chapter/135C.6.pdf" Type="http://schemas.openxmlformats.org/officeDocument/2006/relationships/hyperlink" Id="rId19"/>
    <Relationship TargetMode="External" Target="https://www.legis.iowa.gov/docs/ico/chapter/135C.8.pdf" Type="http://schemas.openxmlformats.org/officeDocument/2006/relationships/hyperlink" Id="rId20"/>
    <Relationship TargetMode="External" Target="https://www.legis.iowa.gov/docs/ico/chapter/135C.6.pdf" Type="http://schemas.openxmlformats.org/officeDocument/2006/relationships/hyperlink" Id="rId21"/>
    <Relationship TargetMode="External" Target="https://www.legis.iowa.gov/docs/ico/chapter/135C.16.pdf" Type="http://schemas.openxmlformats.org/officeDocument/2006/relationships/hyperlink" Id="rId22"/>
    <Relationship TargetMode="External" Target="https://www.legis.iowa.gov/docs/iac/rule/481.65.7.pdf" Type="http://schemas.openxmlformats.org/officeDocument/2006/relationships/hyperlink" Id="rId23"/>
    <Relationship TargetMode="External" Target="https://www.legis.iowa.gov/docs/iac/rule/481.65.7.pdf" Type="http://schemas.openxmlformats.org/officeDocument/2006/relationships/hyperlink" Id="rId24"/>
    <Relationship TargetMode="External" Target="https://www.legis.iowa.gov/docs/ico/chapter/135C.14.pdf" Type="http://schemas.openxmlformats.org/officeDocument/2006/relationships/hyperlink" Id="rId25"/>
    <Relationship TargetMode="External" Target="https://www.legis.iowa.gov/docs/ico/chapter/135C.16.pdf" Type="http://schemas.openxmlformats.org/officeDocument/2006/relationships/hyperlink" Id="rId26"/>
    <Relationship TargetMode="External" Target="https://www.legis.iowa.gov/docs/ico/chapter/135C.14.pdf" Type="http://schemas.openxmlformats.org/officeDocument/2006/relationships/hyperlink" Id="rId27"/>
    <Relationship TargetMode="External" Target="https://www.legis.iowa.gov/docs/iac/rule/481.65.9.pdf" Type="http://schemas.openxmlformats.org/officeDocument/2006/relationships/hyperlink" Id="rId28"/>
    <Relationship TargetMode="External" Target="https://www.legis.iowa.gov/docs/iac/chapter/481.59.pdf" Type="http://schemas.openxmlformats.org/officeDocument/2006/relationships/hyperlink" Id="rId29"/>
    <Relationship TargetMode="External" Target="https://www.legis.iowa.gov/docs/ico/chapter/135C.33.pdf" Type="http://schemas.openxmlformats.org/officeDocument/2006/relationships/hyperlink" Id="rId30"/>
    <Relationship TargetMode="External" Target="https://www.legis.iowa.gov/docs/iac/rule/481.50.9.pdf" Type="http://schemas.openxmlformats.org/officeDocument/2006/relationships/hyperlink" Id="rId31"/>
    <Relationship TargetMode="External" Target="https://www.legis.iowa.gov/docs/ico/chapter/135C.14.pdf" Type="http://schemas.openxmlformats.org/officeDocument/2006/relationships/hyperlink" Id="rId32"/>
    <Relationship TargetMode="External" Target="https://www.legis.iowa.gov/docs/ico/chapter/135C.14.pdf" Type="http://schemas.openxmlformats.org/officeDocument/2006/relationships/hyperlink" Id="rId33"/>
    <Relationship TargetMode="External" Target="https://www.legis.iowa.gov/docs/ico/chapter/249A.pdf" Type="http://schemas.openxmlformats.org/officeDocument/2006/relationships/hyperlink" Id="rId34"/>
    <Relationship TargetMode="External" Target="https://www.legis.iowa.gov/docs/ico/chapter/249A.pdf" Type="http://schemas.openxmlformats.org/officeDocument/2006/relationships/hyperlink" Id="rId35"/>
    <Relationship TargetMode="External" Target="https://www.legis.iowa.gov/docs/ico/chapter/135C.3.pdf" Type="http://schemas.openxmlformats.org/officeDocument/2006/relationships/hyperlink" Id="rId36"/>
    <Relationship TargetMode="External" Target="https://www.legis.iowa.gov/docs/ico/chapter/135C.23.pdf" Type="http://schemas.openxmlformats.org/officeDocument/2006/relationships/hyperlink" Id="rId37"/>
    <Relationship TargetMode="External" Target="https://www.legis.iowa.gov/docs/iac/rule/481.65.11.pdf" Type="http://schemas.openxmlformats.org/officeDocument/2006/relationships/hyperlink" Id="rId38"/>
    <Relationship TargetMode="External" Target="https://www.legis.iowa.gov/docs/iac/rule/481.65.11.pdf" Type="http://schemas.openxmlformats.org/officeDocument/2006/relationships/hyperlink" Id="rId39"/>
    <Relationship TargetMode="External" Target="https://www.legis.iowa.gov/docs/ico/chapter/154B.7.pdf" Type="http://schemas.openxmlformats.org/officeDocument/2006/relationships/hyperlink" Id="rId40"/>
    <Relationship TargetMode="External" Target="https://www.legis.iowa.gov/docs/ico/chapter/135C.14.pdf" Type="http://schemas.openxmlformats.org/officeDocument/2006/relationships/hyperlink" Id="rId41"/>
    <Relationship TargetMode="External" Target="https://www.legis.iowa.gov/docs/iac/rule/481.65.12.pdf" Type="http://schemas.openxmlformats.org/officeDocument/2006/relationships/hyperlink" Id="rId42"/>
    <Relationship TargetMode="External" Target="https://www.legis.iowa.gov/docs/ico/chapter/135C.14.pdf" Type="http://schemas.openxmlformats.org/officeDocument/2006/relationships/hyperlink" Id="rId43"/>
    <Relationship TargetMode="External" Target="https://www.legis.iowa.gov/docs/iac/rule/481.65.9.pdf" Type="http://schemas.openxmlformats.org/officeDocument/2006/relationships/hyperlink" Id="rId44"/>
    <Relationship TargetMode="External" Target="https://www.legis.iowa.gov/docs/iac/rule/481.65.25.pdf" Type="http://schemas.openxmlformats.org/officeDocument/2006/relationships/hyperlink" Id="rId45"/>
    <Relationship TargetMode="External" Target="https://www.legis.iowa.gov/docs/iac/rule/481.65.10.pdf" Type="http://schemas.openxmlformats.org/officeDocument/2006/relationships/hyperlink" Id="rId46"/>
    <Relationship TargetMode="External" Target="https://www.legis.iowa.gov/docs/ico/chapter/229.pdf" Type="http://schemas.openxmlformats.org/officeDocument/2006/relationships/hyperlink" Id="rId47"/>
    <Relationship TargetMode="External" Target="https://www.legis.iowa.gov/docs/iac/rule/481.65.16.pdf" Type="http://schemas.openxmlformats.org/officeDocument/2006/relationships/hyperlink" Id="rId48"/>
    <Relationship TargetMode="External" Target="https://www.legis.iowa.gov/docs/iac/rule/481.65.16.pdf" Type="http://schemas.openxmlformats.org/officeDocument/2006/relationships/hyperlink" Id="rId49"/>
    <Relationship TargetMode="External" Target="https://www.legis.iowa.gov/docs/iac/rule/481.65.16.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ac/chapter/481.9.pdf" Type="http://schemas.openxmlformats.org/officeDocument/2006/relationships/hyperlink" Id="rId52"/>
    <Relationship TargetMode="External" Target="https://www.legis.iowa.gov/docs/iac/rule/481.65.16.pdf" Type="http://schemas.openxmlformats.org/officeDocument/2006/relationships/hyperlink" Id="rId53"/>
    <Relationship TargetMode="External" Target="https://www.legis.iowa.gov/docs/iac/rule/481.65.16.pdf" Type="http://schemas.openxmlformats.org/officeDocument/2006/relationships/hyperlink" Id="rId54"/>
    <Relationship TargetMode="External" Target="https://www.legis.iowa.gov/docs/iac/rule/481.65.16.pdf" Type="http://schemas.openxmlformats.org/officeDocument/2006/relationships/hyperlink" Id="rId55"/>
    <Relationship TargetMode="External" Target="https://www.legis.iowa.gov/docs/ico/chapter/228.1.pdf" Type="http://schemas.openxmlformats.org/officeDocument/2006/relationships/hyperlink" Id="rId56"/>
    <Relationship TargetMode="External" Target="https://www.legis.iowa.gov/docs/ico/chapter/135C.14.pdf" Type="http://schemas.openxmlformats.org/officeDocument/2006/relationships/hyperlink" Id="rId57"/>
    <Relationship TargetMode="External" Target="https://www.legis.iowa.gov/docs/iac/rule/481.65.17.pdf" Type="http://schemas.openxmlformats.org/officeDocument/2006/relationships/hyperlink" Id="rId58"/>
    <Relationship TargetMode="External" Target="https://www.legis.iowa.gov/docs/iac/rule/481.65.12.pdf" Type="http://schemas.openxmlformats.org/officeDocument/2006/relationships/hyperlink" Id="rId59"/>
    <Relationship TargetMode="External" Target="https://www.legis.iowa.gov/docs/ico/chapter/147.107.pdf" Type="http://schemas.openxmlformats.org/officeDocument/2006/relationships/hyperlink" Id="rId60"/>
    <Relationship TargetMode="External" Target="https://www.legis.iowa.gov/docs/ico/chapter/204.302.pdf" Type="http://schemas.openxmlformats.org/officeDocument/2006/relationships/hyperlink" Id="rId61"/>
    <Relationship TargetMode="External" Target="https://www.legis.iowa.gov/docs/ico/chapter/135C.14.pdf" Type="http://schemas.openxmlformats.org/officeDocument/2006/relationships/hyperlink" Id="rId62"/>
    <Relationship TargetMode="External" Target="https://www.legis.iowa.gov/docs/ico/chapter/135C.24.pdf" Type="http://schemas.openxmlformats.org/officeDocument/2006/relationships/hyperlink" Id="rId63"/>
    <Relationship TargetMode="External" Target="https://www.legis.iowa.gov/docs/ico/chapter/135C.24.pdf" Type="http://schemas.openxmlformats.org/officeDocument/2006/relationships/hyperlink" Id="rId64"/>
    <Relationship TargetMode="External" Target="https://www.legis.iowa.gov/docs/ico/chapter/135C.23.pdf" Type="http://schemas.openxmlformats.org/officeDocument/2006/relationships/hyperlink" Id="rId65"/>
    <Relationship TargetMode="External" Target="https://www.legis.iowa.gov/docs/ico/chapter/135C.24.pdf" Type="http://schemas.openxmlformats.org/officeDocument/2006/relationships/hyperlink" Id="rId66"/>
    <Relationship TargetMode="External" Target="https://www.legis.iowa.gov/docs/iac/rule/481.65.11.pdf" Type="http://schemas.openxmlformats.org/officeDocument/2006/relationships/hyperlink" Id="rId67"/>
    <Relationship TargetMode="External" Target="https://www.legis.iowa.gov/docs/iac/rule/481.65.12.pdf" Type="http://schemas.openxmlformats.org/officeDocument/2006/relationships/hyperlink" Id="rId68"/>
    <Relationship TargetMode="External" Target="https://www.legis.iowa.gov/docs/iac/rule/481.65.12.pdf" Type="http://schemas.openxmlformats.org/officeDocument/2006/relationships/hyperlink" Id="rId69"/>
    <Relationship TargetMode="External" Target="https://www.legis.iowa.gov/docs/iac/rule/481.65.12.pdf" Type="http://schemas.openxmlformats.org/officeDocument/2006/relationships/hyperlink" Id="rId70"/>
    <Relationship TargetMode="External" Target="https://www.legis.iowa.gov/docs/ico/chapter/135C.24.pdf" Type="http://schemas.openxmlformats.org/officeDocument/2006/relationships/hyperlink" Id="rId71"/>
    <Relationship TargetMode="External" Target="https://www.legis.iowa.gov/docs/ico/chapter/229.pdf" Type="http://schemas.openxmlformats.org/officeDocument/2006/relationships/hyperlink" Id="rId72"/>
    <Relationship TargetMode="External" Target="https://www.legis.iowa.gov/docs/iac/rule/481.65.21.pdf" Type="http://schemas.openxmlformats.org/officeDocument/2006/relationships/hyperlink" Id="rId73"/>
    <Relationship TargetMode="External" Target="https://www.legis.iowa.gov/docs/ico/chapter/135C.14.pdf" Type="http://schemas.openxmlformats.org/officeDocument/2006/relationships/hyperlink" Id="rId74"/>
    <Relationship TargetMode="External" Target="https://www.legis.iowa.gov/docs/ico/chapter/135C.14.pdf" Type="http://schemas.openxmlformats.org/officeDocument/2006/relationships/hyperlink" Id="rId75"/>
    <Relationship TargetMode="External" Target="https://www.legis.iowa.gov/docs/ico/chapter/135C.14.pdf" Type="http://schemas.openxmlformats.org/officeDocument/2006/relationships/hyperlink" Id="rId76"/>
    <Relationship TargetMode="External" Target="https://www.legis.iowa.gov/docs/ico/chapter/135C.14.pdf" Type="http://schemas.openxmlformats.org/officeDocument/2006/relationships/hyperlink" Id="rId77"/>
    <Relationship TargetMode="External" Target="https://www.legis.iowa.gov/docs/iac/rule/481.65.22.pdf" Type="http://schemas.openxmlformats.org/officeDocument/2006/relationships/hyperlink" Id="rId78"/>
    <Relationship TargetMode="External" Target="https://www.legis.iowa.gov/docs/ico/chapter/135C.14.pdf" Type="http://schemas.openxmlformats.org/officeDocument/2006/relationships/hyperlink" Id="rId79"/>
    <Relationship TargetMode="External" Target="https://www.legis.iowa.gov/docs/iac/rule/481.61.6.pdf" Type="http://schemas.openxmlformats.org/officeDocument/2006/relationships/hyperlink" Id="rId80"/>
    <Relationship TargetMode="External" Target="https://www.legis.iowa.gov/docs/ico/chapter/135C.14.pdf" Type="http://schemas.openxmlformats.org/officeDocument/2006/relationships/hyperlink" Id="rId81"/>
    <Relationship TargetMode="External" Target="https://www.legis.iowa.gov/docs/iac/rule/481.65.25.pdf" Type="http://schemas.openxmlformats.org/officeDocument/2006/relationships/hyperlink" Id="rId82"/>
    <Relationship TargetMode="External" Target="https://www.legis.iowa.gov/docs/iac/rule/481.65.25.pdf" Type="http://schemas.openxmlformats.org/officeDocument/2006/relationships/hyperlink" Id="rId83"/>
    <Relationship TargetMode="External" Target="https://www.legis.iowa.gov/docs/ico/chapter/235E.pdf" Type="http://schemas.openxmlformats.org/officeDocument/2006/relationships/hyperlink" Id="rId84"/>
    <Relationship TargetMode="External" Target="https://www.legis.iowa.gov/docs/iac/chapter/481.52.pdf" Type="http://schemas.openxmlformats.org/officeDocument/2006/relationships/hyperlink" Id="rId85"/>
    <Relationship TargetMode="External" Target="https://www.legis.iowa.gov/docs/ico/chapter/135C.2.pdf" Type="http://schemas.openxmlformats.org/officeDocument/2006/relationships/hyperlink" Id="rId86"/>
    <Relationship TargetMode="External" Target="https://www.legis.iowa.gov/docs/ico/chapter/135C.46.pdf" Type="http://schemas.openxmlformats.org/officeDocument/2006/relationships/hyperlink" Id="rId87"/>
    <Relationship TargetMode="External" Target="https://www.legis.iowa.gov/docs/ico/chapter/135C.14.pdf" Type="http://schemas.openxmlformats.org/officeDocument/2006/relationships/hyperlink" Id="rId88"/>
    <Relationship TargetMode="External" Target="https://www.legis.iowa.gov/docs/ico/chapter/235E.pdf" Type="http://schemas.openxmlformats.org/officeDocument/2006/relationships/hyperlink" Id="rId89"/>
    <Relationship TargetMode="External" Target="https://www.legis.iowa.gov/docs/ico/chapter/135C.14.pdf" Type="http://schemas.openxmlformats.org/officeDocument/2006/relationships/hyperlink" Id="rId90"/>
    <Relationship TargetMode="External" Target="https://www.legis.iowa.gov/docs/ico/chapter/135C.24.pdf" Type="http://schemas.openxmlformats.org/officeDocument/2006/relationships/hyperlink" Id="rId91"/>
    <Relationship TargetMode="External" Target="https://www.legis.iowa.gov/docs/iac/chapter/441.37.pdf" Type="http://schemas.openxmlformats.org/officeDocument/2006/relationships/hyperlink" Id="rId92"/>
    <Relationship TargetMode="External" Target="https://www.legis.iowa.gov/docs/iac/rule/481.56.2.pdf" Type="http://schemas.openxmlformats.org/officeDocument/2006/relationships/hyperlink" Id="rId93"/>
    <Relationship TargetMode="External" Target="https://www.legis.iowa.gov/docs/ico/chapter/227.4.pdf" Type="http://schemas.openxmlformats.org/officeDocument/2006/relationships/hyperlink" Id="rId94"/>
    <Relationship TargetMode="External" Target="https://www.legis.iowa.gov/docs/iac/chapter/481.56.pdf" Type="http://schemas.openxmlformats.org/officeDocument/2006/relationships/hyperlink" Id="rId95"/>
    <Relationship TargetMode="External" Target="https://www.legis.iowa.gov/docs/iac/chapter/481.61.pdf" Type="http://schemas.openxmlformats.org/officeDocument/2006/relationships/hyperlink" Id="rId96"/>
    <Relationship TargetMode="External" Target="https://www.legis.iowa.gov/docs/ico/chapter/135C.2.pdf" Type="http://schemas.openxmlformats.org/officeDocument/2006/relationships/hyperlink" Id="rId97"/>
    <Relationship TargetMode="External" Target="https://www.legis.iowa.gov/docs/ico/chapter/135C.4.pdf" Type="http://schemas.openxmlformats.org/officeDocument/2006/relationships/hyperlink" Id="rId98"/>
    <Relationship TargetMode="External" Target="https://www.legis.iowa.gov/docs/ico/chapter/135C.6.pdf" Type="http://schemas.openxmlformats.org/officeDocument/2006/relationships/hyperlink" Id="rId99"/>
    <Relationship TargetMode="External" Target="https://www.legis.iowa.gov/docs/ico/chapter/135C.6.pdf" Type="http://schemas.openxmlformats.org/officeDocument/2006/relationships/hyperlink" Id="rId100"/>
    <Relationship TargetMode="External" Target="https://www.legis.iowa.gov/docs/ico/chapter/135C.7.pdf" Type="http://schemas.openxmlformats.org/officeDocument/2006/relationships/hyperlink" Id="rId101"/>
    <Relationship TargetMode="External" Target="https://www.legis.iowa.gov/docs/ico/chapter/135C.8.pdf" Type="http://schemas.openxmlformats.org/officeDocument/2006/relationships/hyperlink" Id="rId102"/>
    <Relationship TargetMode="External" Target="https://www.legis.iowa.gov/docs/ico/chapter/135C.14.pdf" Type="http://schemas.openxmlformats.org/officeDocument/2006/relationships/hyperlink" Id="rId103"/>
    <Relationship TargetMode="External" Target="https://www.legis.iowa.gov/docs/ico/chapter/135C.16.pdf" Type="http://schemas.openxmlformats.org/officeDocument/2006/relationships/hyperlink" Id="rId104"/>
    <Relationship TargetMode="External" Target="https://www.legis.iowa.gov/docs/ico/chapter/135C.23.pdf" Type="http://schemas.openxmlformats.org/officeDocument/2006/relationships/hyperlink" Id="rId105"/>
    <Relationship TargetMode="External" Target="https://www.legis.iowa.gov/docs/ico/chapter/135C.24.pdf" Type="http://schemas.openxmlformats.org/officeDocument/2006/relationships/hyperlink" Id="rId106"/>
    <Relationship TargetMode="External" Target="https://www.legis.iowa.gov/docs/ico/chapter/135C.25.pdf" Type="http://schemas.openxmlformats.org/officeDocument/2006/relationships/hyperlink" Id="rId107"/>
    <Relationship TargetMode="External" Target="https://www.legis.iowa.gov/docs/ico/chapter/135C.31.pdf" Type="http://schemas.openxmlformats.org/officeDocument/2006/relationships/hyperlink" Id="rId108"/>
    <Relationship TargetMode="External" Target="https://www.legis.iowa.gov/docs/ico/chapter/227.4.pdf" Type="http://schemas.openxmlformats.org/officeDocument/2006/relationships/hyperlink" Id="rId109"/>
    <Relationship Target="footer.xml" Type="http://schemas.openxmlformats.org/officeDocument/2006/relationships/footer" Id="rId1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