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RESIDENTIAL CARE FACILITY—THREE- TO FIVE-BED SPECIALIZED LICENSE</w:t>
      </w:r>
    </w:p>
    <w:p>
      <w:pPr>
        <w:spacing w:before="0" w:after="0"/>
        <w:ind w:left="120"/>
        <w:jc w:val="center"/>
      </w:pPr>
      <w:r>
        <w:rPr>
          <w:rFonts w:ascii="Times New Roman" w:hAnsi="Times New Roman"/>
          <w:b w:val="false"/>
          <w:i w:val="false"/>
          <w:color w:val="000000"/>
          <w:sz w:val="14"/>
        </w:rPr>
        <w:t>[Prior to 7/15/87, Health Department[470]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481—63.1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 person approved by the department who administers, manages, supervises, and is in general administrative charge of a three- to five-bed residential care facility, whether or not such individual has an ownership interest in such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licensed three- to five-bed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within a person’s body of a virus or microbial agents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state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that daily fee charged for all residents equally and shall include the cost of all minimum services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residency agreement required by rule </w:t>
      </w:r>
      <w:hyperlink r:id="rId6">
        <w:r>
          <w:rPr>
            <w:rStyle w:val="Hyperlink"/>
            <w:rFonts w:ascii="Times New Roman" w:hAnsi="Times New Roman"/>
            <w:b w:val="false"/>
            <w:i w:val="false"/>
            <w:color w:val="000000"/>
            <w:sz w:val="22"/>
          </w:rPr>
          <w:t>481—63.12</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“Specialized residential care facility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for three- to five-bed residential care facilities serving persons with an intellectual disability, chronic mental illness, a developmental disability or brain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w:t>
      </w:r>
      <w:r>
        <w:rPr>
          <w:rFonts w:ascii="Times New Roman" w:hAnsi="Times New Roman"/>
          <w:b/>
          <w:i w:val="false"/>
          <w:color w:val="000000"/>
          <w:sz w:val="22"/>
        </w:rPr>
        <w:t xml:space="preserve">(135C,17A)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waiver from these rules may be granted by the director of the department in accordance with </w:t>
      </w:r>
      <w:hyperlink r:id="rId7">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A request for waiver will be granted or denied by the director within 120 calendar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licensing—new facility or change of ownership. </w:t>
      </w:r>
      <w:r>
        <w:rPr>
          <w:rFonts w:ascii="Times New Roman" w:hAnsi="Times New Roman"/>
          <w:b w:val="false"/>
          <w:i w:val="false"/>
          <w:color w:val="000000"/>
          <w:sz w:val="22"/>
        </w:rPr>
        <w:t>In order to obtain a specialized residential care facility license for a facility not currently licensed as a specialized residential care facility or for a specialized residential care facility when a change of ownership is contemplated,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Application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this chapter and in </w:t>
      </w:r>
      <w:hyperlink r:id="rId8">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letter of intent and a written résumé of care. The résumé of care shall meet the requirements of </w:t>
      </w:r>
      <w:hyperlink r:id="rId9">
        <w:r>
          <w:rPr>
            <w:rStyle w:val="Hyperlink"/>
            <w:rFonts w:ascii="Times New Roman" w:hAnsi="Times New Roman"/>
            <w:b w:val="false"/>
            <w:i w:val="false"/>
            <w:color w:val="000000"/>
            <w:sz w:val="22"/>
          </w:rPr>
          <w:t>subrule 63.3(2)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residential care facility. The floor plan of each floor shall be drawn on 8½″ × 11″ paper, show room areas in proportion, room dimensions, window and door locations, designation of the use of each room, and the room numbers for all rooms, including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of the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fee for a specialized residential care facility license in accordance with </w:t>
      </w:r>
      <w:hyperlink r:id="rId10">
        <w:r>
          <w:rPr>
            <w:rStyle w:val="Hyperlink"/>
            <w:rFonts w:ascii="Times New Roman" w:hAnsi="Times New Roman"/>
            <w:b w:val="false"/>
            <w:i w:val="false"/>
            <w:color w:val="000000"/>
            <w:sz w:val="22"/>
          </w:rPr>
          <w:t>481—paragraph 50.3(2)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The résumé of care shall describe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Ownership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Composition and responsibilities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Qualifications and responsibilities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residents, to include the availability of emergency medical services in the area and the designation of a primary care provider to be responsible for residents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Dental services provided to residents and available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Nursing services provided to residents,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services provided to residents, including supervision of or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Activity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Dietary services, including qualifications of the person in charge, consultation service (if applicable)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as applicable, including social services, physical therapy, occupational therapy, and 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Physical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Staffing provided to meet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specialized residential care facility license, 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form 30 days prior to the annual license renewal date of the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specialized residential care facility license in accordance with </w:t>
      </w:r>
      <w:hyperlink r:id="rId11">
        <w:r>
          <w:rPr>
            <w:rStyle w:val="Hyperlink"/>
            <w:rFonts w:ascii="Times New Roman" w:hAnsi="Times New Roman"/>
            <w:b w:val="false"/>
            <w:i w:val="false"/>
            <w:color w:val="000000"/>
            <w:sz w:val="22"/>
          </w:rPr>
          <w:t>481—paragraph 50.3(2)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approved current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to the résumé of care,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to the current residency agreement,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481—63.4</w:t>
      </w:r>
      <w:r>
        <w:rPr>
          <w:rFonts w:ascii="Times New Roman" w:hAnsi="Times New Roman"/>
          <w:b/>
          <w:i w:val="false"/>
          <w:color w:val="000000"/>
          <w:sz w:val="22"/>
        </w:rPr>
        <w:t xml:space="preserve">(135C) </w:t>
      </w:r>
      <w:r>
        <w:rPr>
          <w:rFonts w:ascii="Times New Roman" w:hAnsi="Times New Roman"/>
          <w:b/>
          <w:i w:val="false"/>
          <w:color w:val="000000"/>
          <w:sz w:val="22"/>
        </w:rPr>
        <w:t xml:space="preserve">Issuance of license. </w:t>
      </w:r>
      <w:r>
        <w:rPr>
          <w:rFonts w:ascii="Times New Roman" w:hAnsi="Times New Roman"/>
          <w:b w:val="false"/>
          <w:i w:val="false"/>
          <w:color w:val="000000"/>
          <w:sz w:val="22"/>
        </w:rPr>
        <w:t>Licenses are issued to the person, entity or governmental unit with responsibility for the operation of the facility and for compliance with all applicable statutes,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481—63.5</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accessible to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val="false"/>
          <w:color w:val="000000"/>
          <w:sz w:val="22"/>
        </w:rPr>
        <w:t>The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an organized continuous 24-hour program of care commensurate with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63.5(6)</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481—63.6</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notifications to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residential care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beginning of the renovation, addition, functional alteration, change of space utilization, or conversion in the residential care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val="false"/>
          <w:color w:val="000000"/>
          <w:sz w:val="22"/>
        </w:rPr>
        <w:t>Thirty days before closure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val="false"/>
          <w:color w:val="000000"/>
          <w:sz w:val="22"/>
        </w:rPr>
        <w:t>Ninety days before a change in the category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val="false"/>
          <w:color w:val="000000"/>
          <w:sz w:val="22"/>
        </w:rPr>
        <w:t>Thirty days before a change of ownership.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all information of whatever kind from the department’s files concerning the licensee’s residential care facility to the named prospective purchaser, transferee, assignee, or lessee.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481—63.7</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facility shall have one person in charge, duly approved by the department or acting in a provisional capacity in accordance with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have a high school diploma or equivalent. (III) In addition, this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two-year degree in human services, psychology, sociology, nursing, health care administration, public administration, or a related field and have a minimum of two years’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four-year degree in human services, psychology, sociology, nursing, health care administration, public administration, or a related field and have a minimum of one year of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and have a minimum of one year of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completed a one-year educational training program approved by the department for residential care facility administrators;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passed the National Association of Long Term Care Administrator Boards (NAB) RC/AL administrator licensure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two years of direct care experience and at least six months of administrative experience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have at least one year of documented experience in a supervisory or direct care position working with persons with an intellectual disability, mental illness, a developmental disability, or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employed as an administrator on May 16, 2018,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63.7(2)</w:t>
      </w:r>
      <w:r>
        <w:rPr>
          <w:rFonts w:ascii="Times New Roman" w:hAnsi="Times New Roman"/>
          <w:b w:val="false"/>
          <w:i w:val="false"/>
          <w:color w:val="000000"/>
          <w:sz w:val="22"/>
        </w:rPr>
        <w:t> </w:t>
      </w:r>
      <w:r>
        <w:rPr>
          <w:rFonts w:ascii="Times New Roman" w:hAnsi="Times New Roman"/>
          <w:b w:val="false"/>
          <w:i/>
          <w:color w:val="000000"/>
          <w:sz w:val="22"/>
        </w:rPr>
        <w:t xml:space="preserve">Duties of an administrator.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residential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in-service educational programming for all employees with direct resident contact and maintain records of programs and participants. (III) In-service educational programming offered during each calendar year shall include, at minimum, the following topics: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(e.g., fire, tornado, flood, 911).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 time procedures/dietary.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Mental illness, brain injury or intellectual disabilities, including behavioral intervention, de-escalation, and crisis intervention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safety/supervision.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education, to include administration, storage and 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service plans/programming/goals.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63.7(3)</w:t>
      </w:r>
      <w:r>
        <w:rPr>
          <w:rFonts w:ascii="Times New Roman" w:hAnsi="Times New Roman"/>
          <w:b w:val="false"/>
          <w:i w:val="false"/>
          <w:color w:val="000000"/>
          <w:sz w:val="22"/>
        </w:rPr>
        <w:t> </w:t>
      </w:r>
      <w:r>
        <w:rPr>
          <w:rFonts w:ascii="Times New Roman" w:hAnsi="Times New Roman"/>
          <w:b w:val="false"/>
          <w:i/>
          <w:color w:val="000000"/>
          <w:sz w:val="22"/>
        </w:rPr>
        <w:t xml:space="preserve">Administrator serving at more than one residential care facility.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shall designate in writing an administrative staff person in each facility who shall be responsible for directing programs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designated by 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at least one year of documented experience in a supervisory or direct care position working with persons with an intellectual disability, mental illness, a developmental disability, or brain injury;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concerning the health, safety and welfare of the residents; and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the administrator must designate in writing regular and specific times during which the administrator will be available to consult with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residential care facility licensee to assume the administrative responsibilities for a residential care facility for a period not to exceed one year when the facility has lost its administrator and has not been able to replace the administrator, provided that the department has been notified and has approved the provisional administrator prior to the date of the provisional administrator’s appointment. (III) The provisional administrator must meet the requirements of </w:t>
      </w:r>
      <w:hyperlink r:id="rId12">
        <w:r>
          <w:rPr>
            <w:rStyle w:val="Hyperlink"/>
            <w:rFonts w:ascii="Times New Roman" w:hAnsi="Times New Roman"/>
            <w:b w:val="false"/>
            <w:i w:val="false"/>
            <w:color w:val="000000"/>
            <w:sz w:val="22"/>
          </w:rPr>
          <w:t>paragraph 63.7(3)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63.7(5)</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temporary absence of the administrator, a responsible person shall be designated in writing to the department to be in charge of the facility. (III) 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is absent for more than six weeks, a provisional administrator must be appointed pursuant to </w:t>
      </w:r>
      <w:hyperlink r:id="rId13">
        <w:r>
          <w:rPr>
            <w:rStyle w:val="Hyperlink"/>
            <w:rFonts w:ascii="Times New Roman" w:hAnsi="Times New Roman"/>
            <w:b w:val="false"/>
            <w:i w:val="false"/>
            <w:color w:val="000000"/>
            <w:sz w:val="22"/>
          </w:rPr>
          <w:t>subrule 63.7(4)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481—63.8</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63.8(1)</w:t>
      </w:r>
      <w:r>
        <w:rPr>
          <w:rFonts w:ascii="Times New Roman" w:hAnsi="Times New Roman"/>
          <w:b w:val="false"/>
          <w:i w:val="false"/>
          <w:color w:val="000000"/>
          <w:sz w:val="22"/>
        </w:rPr>
        <w:t> </w:t>
      </w:r>
      <w:r>
        <w:rPr>
          <w:rFonts w:ascii="Times New Roman" w:hAnsi="Times New Roman"/>
          <w:b w:val="false"/>
          <w:i/>
          <w:color w:val="000000"/>
          <w:sz w:val="22"/>
        </w:rPr>
        <w:t xml:space="preserve">Alcohol and drug use prohibited. </w:t>
      </w:r>
      <w:r>
        <w:rPr>
          <w:rFonts w:ascii="Times New Roman" w:hAnsi="Times New Roman"/>
          <w:b w:val="false"/>
          <w:i w:val="false"/>
          <w:color w:val="000000"/>
          <w:sz w:val="22"/>
        </w:rPr>
        <w:t>No person under the influence of intoxicating drugs or alcoholic beverages shall be permitted to provide services in a residential care facility.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63.8(2)</w:t>
      </w:r>
      <w:r>
        <w:rPr>
          <w:rFonts w:ascii="Times New Roman" w:hAnsi="Times New Roman"/>
          <w:b w:val="false"/>
          <w:i w:val="false"/>
          <w:color w:val="000000"/>
          <w:sz w:val="22"/>
        </w:rPr>
        <w:t> </w:t>
      </w:r>
      <w:r>
        <w:rPr>
          <w:rFonts w:ascii="Times New Roman" w:hAnsi="Times New Roman"/>
          <w:b w:val="false"/>
          <w:i/>
          <w:color w:val="000000"/>
          <w:sz w:val="22"/>
        </w:rPr>
        <w:t xml:space="preserve">Job description. </w:t>
      </w:r>
      <w:r>
        <w:rPr>
          <w:rFonts w:ascii="Times New Roman" w:hAnsi="Times New Roman"/>
          <w:b w:val="false"/>
          <w:i w:val="false"/>
          <w:color w:val="000000"/>
          <w:sz w:val="22"/>
        </w:rPr>
        <w:t>There shall be a written job description developed for each category of worker. The job description shall include the job title, responsibilities and qualifications.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child abuse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14">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63.8(4)</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r>
        <w:rPr>
          <w:rFonts w:ascii="Times New Roman" w:hAnsi="Times New Roman"/>
          <w:b w:val="false"/>
          <w:i w:val="false"/>
          <w:color w:val="000000"/>
          <w:sz w:val="22"/>
        </w:rPr>
        <w:t>A personnel record shall be kept for each employee and shall include but not be limited to the following information about the employee: name and address; social security number; date of birth; date of employment; position; job description; experience and education; results of criminal record checks, child abuse checks and dependent adult abuse checks; and date of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63.8(5)</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staff to meet the needs of the residents served.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 a specialized residential care facility shall provide 24-hour coverage for residential care services. Personnel shall be available and responsive to residents’ needs at all times while on duty.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care staff shall be present in the facility unless all residents are involved in activities away from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shall be aware of and provide supervision levels based on the present needs of the residents in the staff’s care. The facility shall document the supervision of residents who require more than general supervision, as defined by facility policy.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an accurate record of actual hours worked by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63.8(6)</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and screening. </w:t>
      </w:r>
      <w:r>
        <w:rPr>
          <w:rFonts w:ascii="Times New Roman" w:hAnsi="Times New Roman"/>
          <w:b w:val="false"/>
          <w:i w:val="false"/>
          <w:color w:val="000000"/>
          <w:sz w:val="22"/>
        </w:rPr>
        <w:t xml:space="preserve">Employees shall have a physical examination within 12 months prior to beginning employment and every four years thereafter. Screening and testing for tuberculosis shall be conducted pursuant to </w:t>
      </w:r>
      <w:hyperlink r:id="rId16">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481—63.9</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r>
        <w:rPr>
          <w:rFonts w:ascii="Times New Roman" w:hAnsi="Times New Roman"/>
          <w:b w:val="false"/>
          <w:i w:val="false"/>
          <w:color w:val="000000"/>
          <w:sz w:val="22"/>
        </w:rPr>
        <w:t xml:space="preserve">The licensee shall establish and implement written policies and procedures as set forth in this rule. The policies and procedures shall be available for review by the department, other agencies designated by Iowa Code section </w:t>
      </w:r>
      <w:hyperlink r:id="rId17">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staff, residents, residents’ families or legal representatives, and the public and shall be reviewed by the licensee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63.9(1)</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 </w:t>
      </w:r>
      <w:r>
        <w:rPr>
          <w:rFonts w:ascii="Times New Roman" w:hAnsi="Times New Roman"/>
          <w:b w:val="false"/>
          <w:i w:val="false"/>
          <w:color w:val="000000"/>
          <w:sz w:val="22"/>
        </w:rPr>
        <w:t>The licensee shall establish written policies for the operation of the facility, including but not limited to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Registered sex offender management;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including self-administration of medications and chemical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 finances;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alleged dependent adult abuse;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accidents or incidents;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Transportation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Resident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Smoking;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Visitors;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Disaster/emergency planning;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Infection control.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63.9(2)</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w:t>
      </w:r>
      <w:r>
        <w:rPr>
          <w:rFonts w:ascii="Times New Roman" w:hAnsi="Times New Roman"/>
          <w:b w:val="false"/>
          <w:i w:val="false"/>
          <w:color w:val="000000"/>
          <w:sz w:val="22"/>
        </w:rPr>
        <w:t>Written personnel policies shall include the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The facility shall have a written and implemented infection control program, which shall include policies and procedures based on guidelines issued by the Centers for Disease Control and Prevention, U.S. Department of Health and Human Services. The infection control program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the handling of blood, body fluids, and body wastes;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feeding syringes and single-resident use and reuse of urine collection bags;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63.9(4)</w:t>
      </w:r>
      <w:r>
        <w:rPr>
          <w:rFonts w:ascii="Times New Roman" w:hAnsi="Times New Roman"/>
          <w:b w:val="false"/>
          <w:i w:val="false"/>
          <w:color w:val="000000"/>
          <w:sz w:val="22"/>
        </w:rPr>
        <w:t> </w:t>
      </w:r>
      <w:r>
        <w:rPr>
          <w:rFonts w:ascii="Times New Roman" w:hAnsi="Times New Roman"/>
          <w:b w:val="false"/>
          <w:i/>
          <w:color w:val="000000"/>
          <w:sz w:val="22"/>
        </w:rPr>
        <w:t xml:space="preserve">Resident care techniques. </w:t>
      </w:r>
      <w:r>
        <w:rPr>
          <w:rFonts w:ascii="Times New Roman" w:hAnsi="Times New Roman"/>
          <w:b w:val="false"/>
          <w:i w:val="false"/>
          <w:color w:val="000000"/>
          <w:sz w:val="22"/>
        </w:rPr>
        <w:t>The facility shall have written and implemented procedures to be followed if a resident needs any of the following treatment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 and reuse of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63.9(5)</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The facility shall establish written policies for the provision of emergency medical care to residents and employees in case of sudden illness or accident. The policies shall include a list of those individuals to be contacted in case of an emergency.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481—63.10</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specialized residential care facility only on a written order signed by a primary care provider or psychiatrist, specifying the level of care, and certifying that the individual being admitted requires no more than personal care and supervision and does not require routine nursing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or retain a resident who is in need of greater services than the facility can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more residents than the number of beds for which the facility is licensed.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residential care facility is not required to admit an individual through court order, referral or other means without the express prior approval of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residential care facility the authority or responsibility to manage the personal affairs of the resident except as may be necessary for the safety of the resident and the safe and orderly management of the residential care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18 shall not be admitted to a residential care facility without prior written approval by the department. A distinct part of a residential care facility, segregated from the adult section, may be established based on a résumé of care that is submitted by the licensee or applicant and is commensurate with the needs of the residents of the residential care facility and that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within the third degree of consanguinity to the person acting as guardian.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legal representative, primary care provider, psychiatrist, if any, and sponsoring agency, if any, prior to the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primary care provider, family, resident, or legal representative requests such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appropriate record will accompany the resident to ensure continuity of care. “Appropriate record” includes the resident’s face sheet, service plan, most recent orders of the primary care provider and any notifications of upcoming scheduled appointments.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resident’s unused prescriptions shall be sent with the resident or with a legal representative only upon the written order of a primary care provider.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481—63.11</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refusal by the resident to participate in the resident’s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1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residency agreement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1189"/>
      </w:tblGrid>
      <w:tr>
        <w:trPr>
          <w:trHeight w:val="3330" w:hRule="atLeast"/>
        </w:trPr>
        <w:tc>
          <w:tcPr>
            <w:tcW w:w="11189"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receipt of your request by the department and you will not be transferred prior to a final decision. In emergency circumstances, extension of the 14-day requirement may be permitted upon request to the department’s designee. If you lose the hearing, you will not be transferred before the expiration of (1) 30 days following receipt of the original notice of the discharge or transfer, or (2) 5 days following final decision of such hearing, including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w:t>
      </w:r>
      <w:hyperlink r:id="rId19">
        <w:r>
          <w:rPr>
            <w:rStyle w:val="Hyperlink"/>
            <w:rFonts w:ascii="Times New Roman" w:hAnsi="Times New Roman"/>
            <w:b w:val="false"/>
            <w:i w:val="false"/>
            <w:color w:val="000000"/>
            <w:sz w:val="22"/>
          </w:rPr>
          <w:t>paragraph 63.11(4)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w:t>
      </w:r>
      <w:hyperlink r:id="rId20">
        <w:r>
          <w:rPr>
            <w:rStyle w:val="Hyperlink"/>
            <w:rFonts w:ascii="Times New Roman" w:hAnsi="Times New Roman"/>
            <w:b w:val="false"/>
            <w:i w:val="false"/>
            <w:color w:val="000000"/>
            <w:sz w:val="22"/>
          </w:rPr>
          <w:t>subrule 63.11(6)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63.11(5)</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(II)</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the right to be represented at the hearing by an attorney or any other individual of your choice. If you request a hearing, it will be held no later than 14 days after receipt of your request by the department.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w:t>
      </w:r>
      <w:hyperlink r:id="rId21">
        <w:r>
          <w:rPr>
            <w:rStyle w:val="Hyperlink"/>
            <w:rFonts w:ascii="Times New Roman" w:hAnsi="Times New Roman"/>
            <w:b w:val="false"/>
            <w:i w:val="false"/>
            <w:color w:val="000000"/>
            <w:sz w:val="22"/>
          </w:rPr>
          <w:t>subrule 63.11(6)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receipt of the request by the department unless the resident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The hearing shall be public unless the resident or the resident’s legal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A representative of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licensee,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w:t>
      </w:r>
      <w:hyperlink r:id="rId24">
        <w:r>
          <w:rPr>
            <w:rStyle w:val="Hyperlink"/>
            <w:rFonts w:ascii="Times New Roman" w:hAnsi="Times New Roman"/>
            <w:b w:val="false"/>
            <w:i w:val="false"/>
            <w:color w:val="000000"/>
            <w:sz w:val="22"/>
          </w:rPr>
          <w:t>subrule 63.11(5)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63.11(9)</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minimize the possible adverse effects of the involuntary transfer, the resident shall be offered counseling services by the sending facility before the involuntary transfer and by the receiving facility after the involuntary transfer. Counseling, if accepted, shall be provided by a licensed mental health professional as defined in Iowa Code section </w:t>
      </w:r>
      <w:hyperlink r:id="rId2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w:t>
      </w:r>
      <w:hyperlink r:id="rId26">
        <w:r>
          <w:rPr>
            <w:rStyle w:val="Hyperlink"/>
            <w:rFonts w:ascii="Times New Roman" w:hAnsi="Times New Roman"/>
            <w:b w:val="false"/>
            <w:i w:val="false"/>
            <w:color w:val="000000"/>
            <w:sz w:val="22"/>
          </w:rPr>
          <w:t>paragraph 63.11(9)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27">
        <w:r>
          <w:rPr>
            <w:rStyle w:val="Hyperlink"/>
            <w:rFonts w:ascii="Times New Roman" w:hAnsi="Times New Roman"/>
            <w:b w:val="false"/>
            <w:i w:val="false"/>
            <w:color w:val="000000"/>
            <w:sz w:val="22"/>
          </w:rPr>
          <w:t>63.11(5)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receiving health care facility of a resident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63.11(11)</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disturbing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w:t>
      </w:r>
      <w:hyperlink r:id="rId28">
        <w:r>
          <w:rPr>
            <w:rStyle w:val="Hyperlink"/>
            <w:rFonts w:ascii="Times New Roman" w:hAnsi="Times New Roman"/>
            <w:b w:val="false"/>
            <w:i w:val="false"/>
            <w:color w:val="000000"/>
            <w:sz w:val="22"/>
          </w:rPr>
          <w:t>subparagraph 63.11(11)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w:t>
      </w:r>
      <w:hyperlink r:id="rId29">
        <w:r>
          <w:rPr>
            <w:rStyle w:val="Hyperlink"/>
            <w:rFonts w:ascii="Times New Roman" w:hAnsi="Times New Roman"/>
            <w:b w:val="false"/>
            <w:i w:val="false"/>
            <w:color w:val="000000"/>
            <w:sz w:val="22"/>
          </w:rPr>
          <w:t>subparagraph 63.11(11)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w:t>
      </w:r>
      <w:hyperlink r:id="rId30">
        <w:r>
          <w:rPr>
            <w:rStyle w:val="Hyperlink"/>
            <w:rFonts w:ascii="Times New Roman" w:hAnsi="Times New Roman"/>
            <w:b w:val="false"/>
            <w:i w:val="false"/>
            <w:color w:val="000000"/>
            <w:sz w:val="22"/>
          </w:rPr>
          <w:t>paragraph 63.11(11)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481—63.12</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63.12(1)</w:t>
      </w:r>
      <w:r>
        <w:rPr>
          <w:rFonts w:ascii="Times New Roman" w:hAnsi="Times New Roman"/>
          <w:b w:val="false"/>
          <w:i w:val="false"/>
          <w:color w:val="000000"/>
          <w:sz w:val="22"/>
        </w:rPr>
        <w:t> </w:t>
      </w:r>
      <w:r>
        <w:rPr>
          <w:rFonts w:ascii="Times New Roman" w:hAnsi="Times New Roman"/>
          <w:b w:val="false"/>
          <w:i w:val="false"/>
          <w:color w:val="000000"/>
          <w:sz w:val="22"/>
        </w:rPr>
        <w:t>Each residency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the complete schedule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for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provided by a barber, beautician, and such.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services to be provided to the resident based on an assessment at the time of the resident’s admission and in consultation with the administrator and including the specific fee the resident will be charged for each service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 III) Furthermore, the agreement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the responsible party when appropriate, of changes in the overall rates of both base and additional charges at least 30 days prior to the effective date of such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the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a refund of all advance payments in the event of the transfer, death, or voluntary or involuntary discharge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of and charging for a bed when a resident is hospitalized or leaves the facility temporarily for recreational or therapeutic reasons. The terms shall contain a provision that the bed will be held at the request of the resident or the resident’s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whether the resident’s bed should be held. This request shall be made before the resident leaves or within 48 hours after the resident leaves. The inquiry and the response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the resident or responsible party that, when requested, the bed may be held beyond the number of days designated by the funding source, as long as payments are made in accordance with the agreement.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agreement. No agreement or any provision thereof shall be drawn or construed so as to relieve any health care facility of any requirement or obligation imposed upon it by this chapter or any standards or rules in force pursuant to this chapter.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63.12(2)</w:t>
      </w:r>
      <w:r>
        <w:rPr>
          <w:rFonts w:ascii="Times New Roman" w:hAnsi="Times New Roman"/>
          <w:b w:val="false"/>
          <w:i w:val="false"/>
          <w:color w:val="000000"/>
          <w:sz w:val="22"/>
        </w:rPr>
        <w:t> </w:t>
      </w:r>
      <w:r>
        <w:rPr>
          <w:rFonts w:ascii="Times New Roman" w:hAnsi="Times New Roman"/>
          <w:b w:val="false"/>
          <w:i w:val="false"/>
          <w:color w:val="000000"/>
          <w:sz w:val="22"/>
        </w:rPr>
        <w:t>Each party to the residency agreement shall be provided a copy of the signed agreement.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481—63.13</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63.13(1)</w:t>
      </w:r>
      <w:r>
        <w:rPr>
          <w:rFonts w:ascii="Times New Roman" w:hAnsi="Times New Roman"/>
          <w:b w:val="false"/>
          <w:i w:val="false"/>
          <w:color w:val="000000"/>
          <w:sz w:val="22"/>
        </w:rPr>
        <w:t> </w:t>
      </w:r>
      <w:r>
        <w:rPr>
          <w:rFonts w:ascii="Times New Roman" w:hAnsi="Times New Roman"/>
          <w:b w:val="false"/>
          <w:i w:val="false"/>
          <w:color w:val="000000"/>
          <w:sz w:val="22"/>
        </w:rPr>
        <w:t>Each resident in a residential care facility shall have a designated primary care provider who may be contacted when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residential care facility shall have a physical examination prior to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resident is admitted directly from a hospital, a copy of the hospital admission physical and discharge summary may be a part of the record in lieu of an additional physical examination. A record of the examination, signed by the primary care provider, shall be a part of the resident’s record.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of the admission physical examination and medical history shall portray the current medical status of the resident and shall include the resident’s name, sex, age, medical history, physical examination, diagnosis, statement of medical concerns, and results of any diagnostic procedures.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31">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63.13(3)</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primary care provider of any accident, injury or adverse change in the resident’s condition that has the potential for requiring further medical treatment.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63.13(4)</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visited by or shall visit the resident’s primary care provider at least once each year. The one-year period shall be measured from the date of admission and does not include the resident’s preadmission physical.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481—63.14</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on all residents admitted to a specialized residential care facility with all entries current, dated, and signed. (III)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Mortuary’s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medical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by the primary care provider that the resident requires no more than personal care and supervision, but does not require nursing care;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Primary care provider’s orders for medication, treatment, and diet in writing and signed by the primary care provider;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notation of yearly or other visits to primary care provider or other professional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primary care provider has certified that the resident is capable of taking prescribed medications, the resident shall be required to keep the administrator advised of current medications, treatments, and diet. The administrator shall keep a listing of medication, treatments, and diet prescribed by the primary care provider for each resident;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If the primary care provider has certified that the resident is not capable of taking prescribed medication, it must be administered by a qualified person of the facility. A qualified person shall be defined as either a registered or licensed practical nurse or an individual who has completed the state-approved training course in medication administration, including a medication manager or certified medication aide;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primary care provider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Disposition of valuables;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Current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ensured confidential treatment of all information contained in the resident’s records. The resident’s written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limit access to any medical records to staff and consultants providing professional service to the resident. This is not meant to preclude access by representatives of state and federal regulatory agencies. (II)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Similar procedures shall safeguard the confidentiality of residents’ personal records, e.g., financial records and social services records. Only those personnel concerned with the financial affairs of the residents may have access to the financial records. This is not meant to preclude access by representatives of state and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unless the primary care provider determines the disclosure of the record or section thereof is contraindicated in which case this information will be deleted before the record is made available to the resident or responsible party. This determination and the reasons for it must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an incident report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and sign the incident report. The administrator or designee shall review, sign and date the incident report within 72 hours of the accident, incident or unusual occurrence.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or incident where there is apparent injury or where an injury of unknown origin may have occurred.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incident or unusual occurrence within the facility or on the premises that affects a resident, visitor, or employee.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the termination of services to a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a copy of the resident’s record shall be released to the facility to which the resident is transferred.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records shall be maintained for five years in a clean, dry secured storage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63.14(5)</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32">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residents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63.14(6)</w:t>
      </w:r>
      <w:r>
        <w:rPr>
          <w:rFonts w:ascii="Times New Roman" w:hAnsi="Times New Roman"/>
          <w:b w:val="false"/>
          <w:i w:val="false"/>
          <w:color w:val="000000"/>
          <w:sz w:val="22"/>
        </w:rPr>
        <w:t> </w:t>
      </w:r>
      <w:r>
        <w:rPr>
          <w:rFonts w:ascii="Times New Roman" w:hAnsi="Times New Roman"/>
          <w:b w:val="false"/>
          <w:i/>
          <w:color w:val="000000"/>
          <w:sz w:val="22"/>
        </w:rPr>
        <w:t xml:space="preserve">Reports to the department. </w:t>
      </w:r>
      <w:r>
        <w:rPr>
          <w:rFonts w:ascii="Times New Roman" w:hAnsi="Times New Roman"/>
          <w:b w:val="false"/>
          <w:i w:val="false"/>
          <w:color w:val="000000"/>
          <w:sz w:val="22"/>
        </w:rPr>
        <w:t>The licensee shall furnish statistical information concerning the operation of the facility to the department 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63.14(7)</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for each employee shall be kept in accordance with </w:t>
      </w:r>
      <w:hyperlink r:id="rId33">
        <w:r>
          <w:rPr>
            <w:rStyle w:val="Hyperlink"/>
            <w:rFonts w:ascii="Times New Roman" w:hAnsi="Times New Roman"/>
            <w:b w:val="false"/>
            <w:i w:val="false"/>
            <w:color w:val="000000"/>
            <w:sz w:val="22"/>
          </w:rPr>
          <w:t>subrule 63.8(4)</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personnel records shall be made available for review upon request by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63.15(1)</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provided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to promote personal cleanliness.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Clothing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63.15(4)</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bathe at least twice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63.15(5)</w:t>
      </w:r>
      <w:r>
        <w:rPr>
          <w:rFonts w:ascii="Times New Roman" w:hAnsi="Times New Roman"/>
          <w:b w:val="false"/>
          <w:i w:val="false"/>
          <w:color w:val="000000"/>
          <w:sz w:val="22"/>
        </w:rPr>
        <w:t> </w:t>
      </w:r>
      <w:r>
        <w:rPr>
          <w:rFonts w:ascii="Times New Roman" w:hAnsi="Times New Roman"/>
          <w:b w:val="false"/>
          <w:i w:val="false"/>
          <w:color w:val="000000"/>
          <w:sz w:val="22"/>
        </w:rPr>
        <w:t>All nonambulatory residents shall be housed on the grade level floor unless the facility has a suitably sized elevator.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481—63.16</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63.16(1)</w:t>
      </w:r>
      <w:r>
        <w:rPr>
          <w:rFonts w:ascii="Times New Roman" w:hAnsi="Times New Roman"/>
          <w:b w:val="false"/>
          <w:i w:val="false"/>
          <w:color w:val="000000"/>
          <w:sz w:val="22"/>
        </w:rPr>
        <w:t> </w:t>
      </w:r>
      <w:r>
        <w:rPr>
          <w:rFonts w:ascii="Times New Roman" w:hAnsi="Times New Roman"/>
          <w:b w:val="false"/>
          <w:i/>
          <w:color w:val="000000"/>
          <w:sz w:val="22"/>
        </w:rPr>
        <w:t xml:space="preserve">Drug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who have been certified in writing by their primary care provider as capable of taking their own medications may retain these medications in their bedroom, but locked storage must be provided, with staff and the resident having access, and the drug storage shall be kept locked when not in use. Monitoring of the storage, administration, and documentation by the resident shall be carried out by a person who meets the requirements of </w:t>
      </w:r>
      <w:hyperlink r:id="rId34">
        <w:r>
          <w:rPr>
            <w:rStyle w:val="Hyperlink"/>
            <w:rFonts w:ascii="Times New Roman" w:hAnsi="Times New Roman"/>
            <w:b w:val="false"/>
            <w:i w:val="false"/>
            <w:color w:val="000000"/>
            <w:sz w:val="22"/>
          </w:rPr>
          <w:t>subrule 63.16(3)</w:t>
        </w:r>
      </w:hyperlink>
      <w:r>
        <w:rPr>
          <w:rFonts w:ascii="Times New Roman" w:hAnsi="Times New Roman"/>
          <w:b w:val="false"/>
          <w:i w:val="false"/>
          <w:color w:val="000000"/>
          <w:sz w:val="22"/>
        </w:rPr>
        <w:t xml:space="preserve"> and is responsible for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Locked storage for drugs, solutions, and prescriptions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key shall be secured and available only to those employees charged with the responsibility of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II drugs, as defined by Iowa Code chapter </w:t>
      </w:r>
      <w:hyperlink r:id="rId3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shall be kept in a locked box within the locked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locked in a refrigerator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shall be plainly labeled and stored in a specific, well-illuminated cabinet, closet, or storeroom, and shall be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shall be made by the administrator or designee and a registered pharmacist not less than once every three months. The inspection shall be verified by a report signed by the administrator and the pharmacist and filed with the administrator. The report shall include, but not be limited to, certification of the absence of the following: expired drugs, deteriorated drugs, improper labeling, drugs for which there is no current primary care provider’s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for multiresident use shall not be kept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63.16(2)</w:t>
      </w:r>
      <w:r>
        <w:rPr>
          <w:rFonts w:ascii="Times New Roman" w:hAnsi="Times New Roman"/>
          <w:b w:val="false"/>
          <w:i w:val="false"/>
          <w:color w:val="000000"/>
          <w:sz w:val="22"/>
        </w:rPr>
        <w:t> </w:t>
      </w:r>
      <w:r>
        <w:rPr>
          <w:rFonts w:ascii="Times New Roman" w:hAnsi="Times New Roman"/>
          <w:b w:val="false"/>
          <w:i/>
          <w:color w:val="000000"/>
          <w:sz w:val="22"/>
        </w:rPr>
        <w:t xml:space="preserve">Drug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primary care provider’s name, prescription number, name and strength of drug, dosage, directions for use, date of issue, and name and address and telephone number of pharmacy or primary care provider issuing the drug. Where unit dose is used, prescribed medications shall, at a minimum, indicate the resident’s full name, primary care provider’s name, name and strength of drug, and directions for use. Standard containers shall be utilized for dispensing drugs.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Sample medications provided by the resident’s primary care provider shall clearly identify to whom the medications belong.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shall be returned to the issuing pharmacist, pharmacy, or primary care provider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containers unless the resident is participating in an individualized medication program.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shall be destroyed by the person in charge, in the presence of a witness, and with a notation made on the resident’s record or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resident’s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Medications prescribed for one resident shall not be administered to or allowed in the possession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from the Iowa board of pharmacy concerning disposal of unused Schedule II drugs prescribed for a resident who has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Discontinued medications shall be destroyed within a specified time by a responsible person, in the presence of a witness, and with a notation made to that effect or shall be returned to the pharmacist for destruction. Drugs listed under the Schedule II drugs shall be destroyed in accordance with the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medication orders which do not specifically indicate the number of doses to be administered or the length of time the drug is to be administered shall be stopped automatically after a given time period. The automatic-stop order may vary for different types of drugs. The resident’s primary care provider, in conjunction with the pharmacist, shall institute these policies and provide procedures for review and endorsement.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possess any medications unless the primary care provider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primary care provider.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 policy to govern the distribution of prescribed medications to residents who are on leave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may be issued to residents who will be on leave from a facility for less than 24 hours. Only those medications needed for the time period that the resident will be on leave from the facility may be issued. Non-child-resistant containers may be used. Instructions shall be provided and include the date, the resident’s name, the name of the facility, and the name of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for longer than 24 hours shall be obtained in accordance with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63.16(3)</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administration—authorized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medications as ordered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have knowledge of the purpose of the drugs and their dangers and contraindications.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shall be a licensed nurse or primary care provider or an individual who has completed the state-approved training course in medication administration, including a medication manager or certified medication aide.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person shall have a letter of recommendation for admission to the medication aide course from the employing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medication aide challenge examination in place of taking a course. The person shall do all of the following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that the person is competent in medication administration.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written documentation of certification as a medication aide in another state may become a medication aide in Iowa by successfully completing a department-approved nurse aide competency examination and a medication aide challenge examination. The requirements of </w:t>
      </w:r>
      <w:hyperlink r:id="rId36">
        <w:r>
          <w:rPr>
            <w:rStyle w:val="Hyperlink"/>
            <w:rFonts w:ascii="Times New Roman" w:hAnsi="Times New Roman"/>
            <w:b w:val="false"/>
            <w:i w:val="false"/>
            <w:color w:val="000000"/>
            <w:sz w:val="22"/>
          </w:rPr>
          <w:t>paragraph 63.16(3)</w:t>
        </w:r>
        <w:r>
          <w:rPr>
            <w:rFonts w:ascii="Times New Roman" w:hAnsi="Times New Roman"/>
            <w:b w:val="false"/>
            <w:i/>
            <w:color w:val="000000"/>
            <w:sz w:val="22"/>
          </w:rPr>
          <w:t>“d”</w:t>
        </w:r>
      </w:hyperlink>
      <w:r>
        <w:rPr>
          <w:rFonts w:ascii="Times New Roman" w:hAnsi="Times New Roman"/>
          <w:b w:val="false"/>
          <w:i w:val="false"/>
          <w:color w:val="000000"/>
          <w:sz w:val="22"/>
        </w:rPr>
        <w:t xml:space="preserve"> do not apply to this person.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63.16(4)</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In facilities where the unit dose system is used, the person assigned the responsibility of medication administration must complete the procedure by observing the actual act of swallowing the oral medication and by charting the medication. Medications shall be prepared on the same shift of the same day that they are administered unless the unit dose system is used.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registered nurse, licensed practical nurse, primary care provider or pharmacist. For purposes of this subrule, “injectable medications” does not include an epinephrine autoinjector, e.g., an EpiPen.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certified by the resident’s primary care provider as capable of injecting the resident’s own insulin may do so. Insulin may be administered pursuant to </w:t>
      </w:r>
      <w:hyperlink r:id="rId37">
        <w:r>
          <w:rPr>
            <w:rStyle w:val="Hyperlink"/>
            <w:rFonts w:ascii="Times New Roman" w:hAnsi="Times New Roman"/>
            <w:b w:val="false"/>
            <w:i w:val="false"/>
            <w:color w:val="000000"/>
            <w:sz w:val="22"/>
          </w:rPr>
          <w:t>paragraph 63.16(4)</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as otherwise authorized by the resident’s primary care provider. (II, III) Authorization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renewed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of the person authorized to administer the insulin,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documentation by the primary care provider that the authorized person is qualified to administer insulin to that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may participate in the administration of the resident’s own medication if the primary care provider has certified in writing in the resident’s medical record that the resident is mentally and physically capable of participating and has explained in writing in the resident’s medical record what the resident’s participation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with an accurate count and authorized signatures at every shift.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may use a unit dose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aides and medication managers may administer PRN medications without contacting a licensed nurse or primary care provider if all of the following apply: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order from the resident’s primary care provider specifies the purpose of the PRN medication and the frequency, dosage and strength of the PRN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provides in writing specific criteria for administering PRN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assesses the resident’s use of PRN medications when conducting the inspection of drug storage as required by </w:t>
      </w:r>
      <w:hyperlink r:id="rId38">
        <w:r>
          <w:rPr>
            <w:rStyle w:val="Hyperlink"/>
            <w:rFonts w:ascii="Times New Roman" w:hAnsi="Times New Roman"/>
            <w:b w:val="false"/>
            <w:i w:val="false"/>
            <w:color w:val="000000"/>
            <w:sz w:val="22"/>
          </w:rPr>
          <w:t>subparagraph 63.16(1)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shall assess the use of PRN medications when conducting the inspection of drug storage as required by </w:t>
      </w:r>
      <w:hyperlink r:id="rId39">
        <w:r>
          <w:rPr>
            <w:rStyle w:val="Hyperlink"/>
            <w:rFonts w:ascii="Times New Roman" w:hAnsi="Times New Roman"/>
            <w:b w:val="false"/>
            <w:i w:val="false"/>
            <w:color w:val="000000"/>
            <w:sz w:val="22"/>
          </w:rPr>
          <w:t>subparagraph 63.16(1)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481—63.17</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63.17(1)</w:t>
      </w:r>
      <w:r>
        <w:rPr>
          <w:rFonts w:ascii="Times New Roman" w:hAnsi="Times New Roman"/>
          <w:b w:val="false"/>
          <w:i w:val="false"/>
          <w:color w:val="000000"/>
          <w:sz w:val="22"/>
        </w:rPr>
        <w:t> </w:t>
      </w:r>
      <w:r>
        <w:rPr>
          <w:rFonts w:ascii="Times New Roman" w:hAnsi="Times New Roman"/>
          <w:b w:val="false"/>
          <w:i w:val="false"/>
          <w:color w:val="000000"/>
          <w:sz w:val="22"/>
        </w:rPr>
        <w:t>The residential care facility personnel shall assist residents in obtaining annual and emergency dental services and shall arrange transportation for such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63.17(2)</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party, legal representative, or primary care provider. The resident’s primary care provider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63.17(3)</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resident record as available. The facility shall make reasonable efforts to obtain the records following the provision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63.17(4)</w:t>
      </w:r>
      <w:r>
        <w:rPr>
          <w:rFonts w:ascii="Times New Roman" w:hAnsi="Times New Roman"/>
          <w:b w:val="false"/>
          <w:i w:val="false"/>
          <w:color w:val="000000"/>
          <w:sz w:val="22"/>
        </w:rPr>
        <w:t> </w:t>
      </w:r>
      <w:r>
        <w:rPr>
          <w:rFonts w:ascii="Times New Roman" w:hAnsi="Times New Roman"/>
          <w:b w:val="false"/>
          <w:i w:val="false"/>
          <w:color w:val="000000"/>
          <w:sz w:val="22"/>
        </w:rPr>
        <w:t>Personal care staff shall assist the resident in carrying out the dentist’s recommendations.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481—63.18</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63.18(1)</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r>
        <w:rPr>
          <w:rFonts w:ascii="Times New Roman" w:hAnsi="Times New Roman"/>
          <w:b w:val="false"/>
          <w:i w:val="false"/>
          <w:color w:val="000000"/>
          <w:sz w:val="22"/>
        </w:rPr>
        <w:t>Personnel who are responsible for food preparation or service, or both food preparation and service, shall have an orientation on sanitation and safe food handling prior to handling food and shall have annual in-service training on food protection.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63.18(2)</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 in accordance with the primary care provider’s orders. Diet orders should be reviewed as necessary, but at least quarterly,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where residents plan and prepare their own meals, education and support shall be provided to residents regarding proper food preparation, dietary guidelines, and food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facilities where food is regularly prepared for residents,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offered daily, at regular hours. (II, III)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shall be no more than a 14-hour span between offering a substantial evening meal and breakfast.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Unless contraindicated, evening snacks shall be offered routinely to all residents. Special nourishments shall be available when ordered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or requested,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an alternative choice at scheduled meal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63.18(3)</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40">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two-day period shall be maintained on the premises. Minimum food portion requirements for a low-cost plan shall conform to information supplied by the bureau of nutrition and health promotion of the department of public health.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Dishes shall be free of cracks, chips, and stains.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properly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63.18(4)</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r>
        <w:rPr>
          <w:rFonts w:ascii="Times New Roman" w:hAnsi="Times New Roman"/>
          <w:b w:val="false"/>
          <w:i w:val="false"/>
          <w:color w:val="000000"/>
          <w:sz w:val="22"/>
        </w:rPr>
        <w:t>There shall be written procedures established for cleaning all work and serving areas.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481—63.19</w:t>
      </w:r>
      <w:r>
        <w:rPr>
          <w:rFonts w:ascii="Times New Roman" w:hAnsi="Times New Roman"/>
          <w:b/>
          <w:i w:val="false"/>
          <w:color w:val="000000"/>
          <w:sz w:val="22"/>
        </w:rPr>
        <w:t xml:space="preserve">(135C) </w:t>
      </w:r>
      <w:r>
        <w:rPr>
          <w:rFonts w:ascii="Times New Roman" w:hAnsi="Times New Roman"/>
          <w:b/>
          <w:i w:val="false"/>
          <w:color w:val="000000"/>
          <w:sz w:val="22"/>
        </w:rPr>
        <w:t xml:space="preserve">Orientation and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63.19(1)</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Within 24 hours of admission, each resident shall receive orientation to the facility. The orientation program shall be documented in the resident’s file and shall include, but shall not be limited to, a review of the resident’s rights, the daily schedule, house rules and the facility’s evacuation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63.19(2)</w:t>
      </w:r>
      <w:r>
        <w:rPr>
          <w:rFonts w:ascii="Times New Roman" w:hAnsi="Times New Roman"/>
          <w:b w:val="false"/>
          <w:i w:val="false"/>
          <w:color w:val="000000"/>
          <w:sz w:val="22"/>
        </w:rPr>
        <w:t> </w:t>
      </w:r>
      <w:r>
        <w:rPr>
          <w:rFonts w:ascii="Times New Roman" w:hAnsi="Times New Roman"/>
          <w:b w:val="false"/>
          <w:i/>
          <w:color w:val="000000"/>
          <w:sz w:val="22"/>
        </w:rPr>
        <w:t xml:space="preserve">Initial service plan. </w:t>
      </w:r>
      <w:r>
        <w:rPr>
          <w:rFonts w:ascii="Times New Roman" w:hAnsi="Times New Roman"/>
          <w:b w:val="false"/>
          <w:i w:val="false"/>
          <w:color w:val="000000"/>
          <w:sz w:val="22"/>
        </w:rPr>
        <w:t xml:space="preserve">Within 48 hours of admission, the administrator or the administrator’s designee shall develop an initial service plan to address any immediate health and safety needs. The plan shall be based on information gathered from the resident, family, referring party, primary care provider, and other significant persons. The plan shall be followed until the service plan required in subrule </w:t>
      </w:r>
      <w:hyperlink r:id="rId41">
        <w:r>
          <w:rPr>
            <w:rStyle w:val="Hyperlink"/>
            <w:rFonts w:ascii="Times New Roman" w:hAnsi="Times New Roman"/>
            <w:b w:val="false"/>
            <w:i w:val="false"/>
            <w:color w:val="000000"/>
            <w:sz w:val="22"/>
          </w:rPr>
          <w:t>63.19(3)</w:t>
        </w:r>
      </w:hyperlink>
      <w:r>
        <w:rPr>
          <w:rFonts w:ascii="Times New Roman" w:hAnsi="Times New Roman"/>
          <w:b w:val="false"/>
          <w:i w:val="false"/>
          <w:color w:val="000000"/>
          <w:sz w:val="22"/>
        </w:rPr>
        <w:t xml:space="preserve"> is complete.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63.19(3)</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Within 30 days of admission, the administrator or the administrator’s designee, in conjunction with the resident and the resident’s interdisciplinary team, shall develop a written, individualized, and integrated service plan for the resident. The service plan shall be developed and implemented to address the resident’s priorities and assessed needs, such as activities of daily living, rehabilitation, activity, and social, behavioral, emotional, physical and mental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measurable goals and objectives and the specific service(s) to be provided to achieve the goals. Each goal shall include the date of initiation and anticipated duration of service(s). Any restriction of rights shall be included in the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documentation procedure for each goal and objective.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plan should be modified to add or delete goals and objectives as the resident’s needs change. Communications related to service plan changes or changes in the resident’s condition shall occur within five working days of the change and shall be conveyed to all individuals inside and outside the residential care facility who work with the resident, as well as to the resident’s responsible party.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reviewed at least quarterly by relevant staff, the resident and appropriate others, such as the resident’s family, case manager and responsible party. The review shall include a written report which addresses a summary of the resident’s progress toward goals and objectives and the need for continued services.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481—63.20</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63.20(1)</w:t>
      </w:r>
      <w:r>
        <w:rPr>
          <w:rFonts w:ascii="Times New Roman" w:hAnsi="Times New Roman"/>
          <w:b w:val="false"/>
          <w:i w:val="false"/>
          <w:color w:val="000000"/>
          <w:sz w:val="22"/>
        </w:rPr>
        <w:t> </w:t>
      </w:r>
      <w:r>
        <w:rPr>
          <w:rFonts w:ascii="Times New Roman" w:hAnsi="Times New Roman"/>
          <w:b w:val="false"/>
          <w:i/>
          <w:color w:val="000000"/>
          <w:sz w:val="22"/>
        </w:rPr>
        <w:t xml:space="preserve">Activities program. </w:t>
      </w:r>
      <w:r>
        <w:rPr>
          <w:rFonts w:ascii="Times New Roman" w:hAnsi="Times New Roman"/>
          <w:b w:val="false"/>
          <w:i w:val="false"/>
          <w:color w:val="000000"/>
          <w:sz w:val="22"/>
        </w:rPr>
        <w:t>Each residential care facility shall provide suitable group and individual activities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provided shall be designed to meet the needs and interests of each resident and to assist residents in continuing normal activities within limitations set by the resident’s primary care provider.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but not required, to participate in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63.20(2)</w:t>
      </w:r>
      <w:r>
        <w:rPr>
          <w:rFonts w:ascii="Times New Roman" w:hAnsi="Times New Roman"/>
          <w:b w:val="false"/>
          <w:i w:val="false"/>
          <w:color w:val="000000"/>
          <w:sz w:val="22"/>
        </w:rPr>
        <w:t>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primary care provider or interdisciplinary team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63.20(3)</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63.20(4)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481—63.21</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63.21(1)</w:t>
      </w:r>
      <w:r>
        <w:rPr>
          <w:rFonts w:ascii="Times New Roman" w:hAnsi="Times New Roman"/>
          <w:b w:val="false"/>
          <w:i w:val="false"/>
          <w:color w:val="000000"/>
          <w:sz w:val="22"/>
        </w:rPr>
        <w:t> </w:t>
      </w:r>
      <w:r>
        <w:rPr>
          <w:rFonts w:ascii="Times New Roman" w:hAnsi="Times New Roman"/>
          <w:b w:val="false"/>
          <w:i w:val="false"/>
          <w:color w:val="000000"/>
          <w:sz w:val="22"/>
        </w:rPr>
        <w:t>Each facility shall ensure that policies and procedures are written and implemented which include, at a minimum, the provisions of this rule and which govern all areas of service provided by the facility. These policies and procedures shall be available to staff, residents, residents’ families or legal representatives and the public and shall be reviewed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parties and for ensuring a response and disposition by the facility. (II, III) The written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the provision of assistance to residents as necessary to complete and submit complaints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protection of the resident from any form of reprisal or intimidation;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designation of an employee responsible for handling grievances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method of investigating and assessing the validity of a grievance or recommendation;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methods of recording grievances and actions taken.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the resident’s admission or, in the case of residents already in the facility, upon the facility’s adoption or amendment of residents’ rights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communicate to residents prior to or within five days after admission what residents may expect from the facility and its staff and what is expected from residents. The communication shall be in writing, e.g., in a separate handout or brochure describing the facility, and interpreted verbally, e.g., as part of a preadmission interview, resident counseling, or in individual or group orientation sessions following the resident’s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if applicable, indicating an understanding of these rights and responsibilities and shall be maintained in the resident’s record. The statement shall be signed no later than five days after admission, and a copy of the signed statement shall be given to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non-English-speaking, deaf or hard-of-hearing, or blind residents of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63.21(5)</w:t>
      </w:r>
      <w:r>
        <w:rPr>
          <w:rFonts w:ascii="Times New Roman" w:hAnsi="Times New Roman"/>
          <w:b w:val="false"/>
          <w:i w:val="false"/>
          <w:color w:val="000000"/>
          <w:sz w:val="22"/>
        </w:rPr>
        <w:t> </w:t>
      </w:r>
      <w:r>
        <w:rPr>
          <w:rFonts w:ascii="Times New Roman" w:hAnsi="Times New Roman"/>
          <w:b w:val="false"/>
          <w:i w:val="false"/>
          <w:color w:val="000000"/>
          <w:sz w:val="22"/>
        </w:rPr>
        <w:t>Choice of primary care provider. Each resident shall be permitted free choice of a primary care provider, and pharmacy, if accessible. The facility may require the selected pharmacy to utilize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shall be afforded the opportunity to participate in the planning of the resident’s total care and treatment, which may include, but shall not be limited to, medical care, nutritional needs, activities, and social work services. Each resident has the right to refuse treatment except as provided by Iowa Code chapter </w:t>
      </w:r>
      <w:hyperlink r:id="rId4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resident with a responsible party, the responsible party shall be afforded the opportunity to participate in the planning of the resident’s total care and medical treatment and to be informed of the resident’s medical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63.21(7)</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encouraged and assisted throughout the resident’s period of stay to exercise the resident’s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63.21(8)</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changes in policies and services that are more restrictive,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text of Iowa Code section </w:t>
      </w:r>
      <w:hyperlink r:id="rId4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(Retaliation by facility prohibited) and the name, telephone number, and address of the long-term care ombudsman, the department, and the local law enforcement agency to provide residents a further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and responsibilities of the resident devolve to the resident’s responsible party or any legal surrogate designated in accordance with state law, to the extent permitted by state law. This subrule is not intended to limit the authority of any individual acting pursuant to Iowa Code chapter </w:t>
      </w:r>
      <w:hyperlink r:id="rId4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481—63.22</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under emergency conditions.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481—63.23</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63.23(1)</w:t>
      </w:r>
      <w:r>
        <w:rPr>
          <w:rFonts w:ascii="Times New Roman" w:hAnsi="Times New Roman"/>
          <w:b w:val="false"/>
          <w:i w:val="false"/>
          <w:color w:val="000000"/>
          <w:sz w:val="22"/>
        </w:rPr>
        <w:t>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63.23(2)</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documents specific reasons why such a visit would be harmful to the resident’s health.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63.23(3)</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are reviewed and reevaluated: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the medical orders are reviewed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quarterly by the facility’s staff;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63.23(5)</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63.23(6)</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63.23(7)</w:t>
      </w:r>
      <w:r>
        <w:rPr>
          <w:rFonts w:ascii="Times New Roman" w:hAnsi="Times New Roman"/>
          <w:b w:val="false"/>
          <w:i w:val="false"/>
          <w:color w:val="000000"/>
          <w:sz w:val="22"/>
        </w:rPr>
        <w:t> </w:t>
      </w:r>
      <w:r>
        <w:rPr>
          <w:rFonts w:ascii="Times New Roman" w:hAnsi="Times New Roman"/>
          <w:b w:val="false"/>
          <w:i w:val="false"/>
          <w:color w:val="000000"/>
          <w:sz w:val="22"/>
        </w:rPr>
        <w:t>Residents, including residents court-ordered to the facility, shall be permitted to leave the facility at reasonable times unless there are justifiable reasons established in writing by court order, the primary care provider, the interdisciplinary team, or the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63.23(8)</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facility shall offer the resident the opportunity to have personal property itemized and documented on an inventory sheet upon the resident’s admission. The inventory sheet shall be kept in a safe location which is convenient for the resident to review and update. At discharge, residents may sign off on a list of the personal property they are taking with them.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the safekeeping of personal effects, funds and other property of its residents. The facility may require that items of exceptional value or that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63.24(3)</w:t>
      </w:r>
      <w:r>
        <w:rPr>
          <w:rFonts w:ascii="Times New Roman" w:hAnsi="Times New Roman"/>
          <w:b w:val="false"/>
          <w:i w:val="false"/>
          <w:color w:val="000000"/>
          <w:sz w:val="22"/>
        </w:rPr>
        <w:t> </w:t>
      </w:r>
      <w:r>
        <w:rPr>
          <w:rFonts w:ascii="Times New Roman" w:hAnsi="Times New Roman"/>
          <w:b w:val="false"/>
          <w:i w:val="false"/>
          <w:color w:val="000000"/>
          <w:sz w:val="22"/>
        </w:rPr>
        <w:t>Any funds or other property belonging to or due a resident, or expendable for the resident’s account, which is received by the facility shall be trust funds; shall be kept separate from the funds and property of the facility and of its other residents, or specifically credited to such resident; and shall be used or otherwise expended only for the account of the resident.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481—63.25</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To the extent the facility assists in management, under written authorization by the resident, the management shall be carried out in accordance with Iowa Code section </w:t>
      </w:r>
      <w:hyperlink r:id="rId45">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4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resident with impaired decision-making skills, the resident’s legal representative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facility must document that it has prepared and sent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legal representative.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63.25(6)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legal representative. The department may report findings that resident funds have been used without written consent to the department’s investigations division or to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481—63.26</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 </w:t>
      </w:r>
      <w:hyperlink r:id="rId47">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63.26(1)</w:t>
      </w:r>
      <w:r>
        <w:rPr>
          <w:rFonts w:ascii="Times New Roman" w:hAnsi="Times New Roman"/>
          <w:b w:val="false"/>
          <w:i w:val="false"/>
          <w:color w:val="000000"/>
          <w:sz w:val="22"/>
        </w:rPr>
        <w:t> </w:t>
      </w:r>
      <w:r>
        <w:rPr>
          <w:rFonts w:ascii="Times New Roman" w:hAnsi="Times New Roman"/>
          <w:b w:val="false"/>
          <w:i w:val="false"/>
          <w:color w:val="000000"/>
          <w:sz w:val="22"/>
        </w:rPr>
        <w:t>Residents may not be used to provide a source of labor for the facility against their will. Approval by the primary care provider or physiatrist is required for all work programs.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63.26(2)</w:t>
      </w:r>
      <w:r>
        <w:rPr>
          <w:rFonts w:ascii="Times New Roman" w:hAnsi="Times New Roman"/>
          <w:b w:val="false"/>
          <w:i w:val="false"/>
          <w:color w:val="000000"/>
          <w:sz w:val="22"/>
        </w:rPr>
        <w:t> </w:t>
      </w:r>
      <w:r>
        <w:rPr>
          <w:rFonts w:ascii="Times New Roman" w:hAnsi="Times New Roman"/>
          <w:b w:val="false"/>
          <w:i w:val="false"/>
          <w:color w:val="000000"/>
          <w:sz w:val="22"/>
        </w:rPr>
        <w:t>Residents who perform work for the facility must receive compensation unless the work is part of their approved training program. Persons on the resident census who perform work shall not be used to replace paid employees in fulfilling staffing requirements.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481—63.27</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shall only be used in accordance with orders of the primary care provider.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63.27(4)</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48">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63.27(5)</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shall receive training relating to the identification and reporting of dependent adult abuse as required by Iowa Code section </w:t>
      </w:r>
      <w:hyperlink r:id="rId50">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481—63.28</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If a facility utilizes physical restraints, the facility shall have written policies that define the uses of physical restraints, designate the administrator or designee as the person who may authorize their use, establish a mechanism for monitoring and controlling their use, and provide staff with proper training.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63.28(1)</w:t>
      </w:r>
      <w:r>
        <w:rPr>
          <w:rFonts w:ascii="Times New Roman" w:hAnsi="Times New Roman"/>
          <w:b w:val="false"/>
          <w:i w:val="false"/>
          <w:color w:val="000000"/>
          <w:sz w:val="22"/>
        </w:rPr>
        <w:t> </w:t>
      </w:r>
      <w:r>
        <w:rPr>
          <w:rFonts w:ascii="Times New Roman" w:hAnsi="Times New Roman"/>
          <w:b w:val="false"/>
          <w:i w:val="false"/>
          <w:color w:val="000000"/>
          <w:sz w:val="22"/>
        </w:rPr>
        <w:t>Temporary physical restraint of residents shall be used only under the following conditions: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to prevent injury to the resident or to others; 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 but shall not be used for punishment, for the convenience of staff or as a substitution for supervision or programming;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63.28(2)</w:t>
      </w:r>
      <w:r>
        <w:rPr>
          <w:rFonts w:ascii="Times New Roman" w:hAnsi="Times New Roman"/>
          <w:b w:val="false"/>
          <w:i w:val="false"/>
          <w:color w:val="000000"/>
          <w:sz w:val="22"/>
        </w:rPr>
        <w:t> </w:t>
      </w:r>
      <w:r>
        <w:rPr>
          <w:rFonts w:ascii="Times New Roman" w:hAnsi="Times New Roman"/>
          <w:b w:val="false"/>
          <w:i w:val="false"/>
          <w:color w:val="000000"/>
          <w:sz w:val="22"/>
        </w:rPr>
        <w:t>Authorization for the use of physical restraints must be prior to or immediately after application of the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63.28(3)</w:t>
      </w:r>
      <w:r>
        <w:rPr>
          <w:rFonts w:ascii="Times New Roman" w:hAnsi="Times New Roman"/>
          <w:b w:val="false"/>
          <w:i w:val="false"/>
          <w:color w:val="000000"/>
          <w:sz w:val="22"/>
        </w:rPr>
        <w:t> </w:t>
      </w:r>
      <w:r>
        <w:rPr>
          <w:rFonts w:ascii="Times New Roman" w:hAnsi="Times New Roman"/>
          <w:b w:val="false"/>
          <w:i w:val="false"/>
          <w:color w:val="000000"/>
          <w:sz w:val="22"/>
        </w:rPr>
        <w:t>Prone restraint is prohibited. Staff persons who find themselves involved in the use of a prone restraint when responding to an emergency must take immediate steps to end the prone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63.28(4)</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resident’s rights and to ensure safety shall be clearly set forth in the resident’s record by the responsible staff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63.28(5)</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the interdisciplinary team and the resident’s responsible party shall be notified of any restraints administered.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to the staff a department-approved training program by qualified professionals on physical restraint techniques.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with documented training in physical restraint and techniques shall be authorized to assist with physical restraint of a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63.28(7)</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kept behind locked doors.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63.28(8)</w:t>
      </w:r>
      <w:r>
        <w:rPr>
          <w:rFonts w:ascii="Times New Roman" w:hAnsi="Times New Roman"/>
          <w:b w:val="false"/>
          <w:i w:val="false"/>
          <w:color w:val="000000"/>
          <w:sz w:val="22"/>
        </w:rPr>
        <w:t> </w:t>
      </w:r>
      <w:r>
        <w:rPr>
          <w:rFonts w:ascii="Times New Roman" w:hAnsi="Times New Roman"/>
          <w:b w:val="false"/>
          <w:i w:val="false"/>
          <w:color w:val="000000"/>
          <w:sz w:val="22"/>
        </w:rPr>
        <w:t>Mechanical restraint is prohibited. Staff persons who find themselves involved in the use of a mechanical restraint when responding to an emergency must take immediate steps to end the mechanical restraint.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481—63.29</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residential care facility shall be responsible for the provision and maintenance of a safe environment for residents and personnel.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residential care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prominently posted in a common area of the building.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shall be prohibited, except as allowed by Iowa Code chapter </w:t>
      </w:r>
      <w:hyperlink r:id="rId5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the smokefree air Act.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adequate supervision to ensure against hazard from themselves,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areas for cleaning agents, bleaches, insecticides, or any other poisonous, dangerous, or flammable materials shall be locked. Residents permitted to access these materials shall have an order by their primary care provider stating the resident is able to utilize such materials, and staff shall supervise the residents as identified in the resident’s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with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personal possessions that may constitute a hazard to residents or others shall be removed and stored.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63.29(4)</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481—63.30</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63.30(1)</w:t>
      </w:r>
      <w:r>
        <w:rPr>
          <w:rFonts w:ascii="Times New Roman" w:hAnsi="Times New Roman"/>
          <w:b w:val="false"/>
          <w:i w:val="false"/>
          <w:color w:val="000000"/>
          <w:sz w:val="22"/>
        </w:rPr>
        <w:t> </w:t>
      </w:r>
      <w:r>
        <w:rPr>
          <w:rFonts w:ascii="Times New Roman" w:hAnsi="Times New Roman"/>
          <w:b w:val="false"/>
          <w:i w:val="false"/>
          <w:color w:val="000000"/>
          <w:sz w:val="22"/>
        </w:rPr>
        <w:t>Each resident room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63.30(2)</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63.30(3)</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63.30(4)</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63.30(5)</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63.30(6)</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63.30(7)</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63.30(8)</w:t>
      </w:r>
      <w:r>
        <w:rPr>
          <w:rFonts w:ascii="Times New Roman" w:hAnsi="Times New Roman"/>
          <w:b w:val="false"/>
          <w:i w:val="false"/>
          <w:color w:val="000000"/>
          <w:sz w:val="22"/>
        </w:rPr>
        <w:t> </w:t>
      </w:r>
      <w:r>
        <w:rPr>
          <w:rFonts w:ascii="Times New Roman" w:hAnsi="Times New Roman"/>
          <w:b w:val="false"/>
          <w:i w:val="false"/>
          <w:color w:val="000000"/>
          <w:sz w:val="22"/>
        </w:rPr>
        <w:t>Throw or scatter rugs shall have nonskid backing.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63.30(9)</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481—63.31</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63.31(1)</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63.31(2)</w:t>
      </w:r>
      <w:r>
        <w:rPr>
          <w:rFonts w:ascii="Times New Roman" w:hAnsi="Times New Roman"/>
          <w:b w:val="false"/>
          <w:i w:val="false"/>
          <w:color w:val="000000"/>
          <w:sz w:val="22"/>
        </w:rPr>
        <w:t> </w:t>
      </w:r>
      <w:r>
        <w:rPr>
          <w:rFonts w:ascii="Times New Roman" w:hAnsi="Times New Roman"/>
          <w:b w:val="false"/>
          <w:i w:val="false"/>
          <w:color w:val="000000"/>
          <w:sz w:val="22"/>
        </w:rPr>
        <w:t>Window treatments and furniture shall be clean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63.31(3)</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63.31(4)</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63.31(5)</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63.31(6)</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63.31(7)</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63.31(8)</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481—63.32</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63.32(1)</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if commingled with other residents’ personal laundry.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63.32(2)</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63.32(3)</w:t>
      </w:r>
      <w:r>
        <w:rPr>
          <w:rFonts w:ascii="Times New Roman" w:hAnsi="Times New Roman"/>
          <w:b w:val="false"/>
          <w:i w:val="false"/>
          <w:color w:val="000000"/>
          <w:sz w:val="22"/>
        </w:rPr>
        <w:t> </w:t>
      </w:r>
      <w:r>
        <w:rPr>
          <w:rFonts w:ascii="Times New Roman" w:hAnsi="Times New Roman"/>
          <w:b w:val="false"/>
          <w:i w:val="false"/>
          <w:color w:val="000000"/>
          <w:sz w:val="22"/>
        </w:rPr>
        <w:t>If laundry is done in the facility, a clean, dry, well-lit area to accommodate a washer and dryer of adequate size to serve the needs of the facility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481—63.33</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and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63.33(3)</w:t>
      </w:r>
      <w:r>
        <w:rPr>
          <w:rFonts w:ascii="Times New Roman" w:hAnsi="Times New Roman"/>
          <w:b w:val="false"/>
          <w:i w:val="false"/>
          <w:color w:val="000000"/>
          <w:sz w:val="22"/>
        </w:rPr>
        <w:t> </w:t>
      </w:r>
      <w:r>
        <w:rPr>
          <w:rFonts w:ascii="Times New Roman" w:hAnsi="Times New Roman"/>
          <w:b w:val="false"/>
          <w:i w:val="false"/>
          <w:color w:val="000000"/>
          <w:sz w:val="22"/>
        </w:rPr>
        <w:t>All unlined containers inside of the facility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63.33(4)</w:t>
      </w:r>
      <w:r>
        <w:rPr>
          <w:rFonts w:ascii="Times New Roman" w:hAnsi="Times New Roman"/>
          <w:b w:val="false"/>
          <w:i w:val="false"/>
          <w:color w:val="000000"/>
          <w:sz w:val="22"/>
        </w:rPr>
        <w:t> </w:t>
      </w:r>
      <w:r>
        <w:rPr>
          <w:rFonts w:ascii="Times New Roman" w:hAnsi="Times New Roman"/>
          <w:b w:val="false"/>
          <w:i w:val="false"/>
          <w:color w:val="000000"/>
          <w:sz w:val="22"/>
        </w:rPr>
        <w:t>All waste shall be properly disposed of in compliance with local ordinances and state codes.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481—63.34</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linens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63.34(2)</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equipment shall be properly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and sanitary storage shall be provided for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481—63.35</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be located in an area zoned for single- or multiple-family housing or in an unincorporated area and shall be constructed in compliance with applicable local housing codes and rules adopted for this classification of license by the state fire marshal.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63.35(3)</w:t>
      </w:r>
      <w:r>
        <w:rPr>
          <w:rFonts w:ascii="Times New Roman" w:hAnsi="Times New Roman"/>
          <w:b w:val="false"/>
          <w:i w:val="false"/>
          <w:color w:val="000000"/>
          <w:sz w:val="22"/>
        </w:rPr>
        <w:t> </w:t>
      </w:r>
      <w:r>
        <w:rPr>
          <w:rFonts w:ascii="Times New Roman" w:hAnsi="Times New Roman"/>
          <w:b w:val="false"/>
          <w:i/>
          <w:color w:val="000000"/>
          <w:sz w:val="22"/>
        </w:rPr>
        <w:t xml:space="preserve">Dining areas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Living rooms shall be suitably furnished.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areas shall be furnished with dining tables and chairs appropriate to the size and function of the facility. Dining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twin-sized or larger bed, substantially constructed and in good repair. 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 wardrobe or closet in each resident’s room. Minimum clear dimensions shall be 1 foot 10 inches deep by 1 foot 8 inches wide with full hanging space and provide a clothes rod and shelf. In a multiple bedroom, closet or wardrobe space shall be assigned each resident sufficient for the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room shall have sufficient accessible mirrors to serve resident’s needs.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Useable floor space of a room shall be no less than 8 feet in any major dimension.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Bedrooms shall have a minimum of 60 square feet of useable floor space per bed for a double room, 80 square feet of useable floor space for a single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two residents per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toilet and bath facility for five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4577C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481—63.36</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r>
        <w:rPr>
          <w:rFonts w:ascii="Times New Roman" w:hAnsi="Times New Roman"/>
          <w:b w:val="false"/>
          <w:i w:val="false"/>
          <w:color w:val="000000"/>
          <w:sz w:val="22"/>
        </w:rPr>
        <w:t>If the family or employees live within the facility, separate living quarters and recreation facilities shall be required for the family or employees distinct from such areas provided for the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481—63.37</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No animals shall be allowed to reside in the facility except with written approval of the department and under controlled conditions.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3740C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2/23/77—published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5/15/86, Notice 2/26/86—published 6/4/86, effective 7/9/86]</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after Notice 3/12/87, Notice 12/31/86—published 4/8/87, effective 3/12/87]</w:t>
      </w:r>
    </w:p>
    <w:p>
      <w:pPr>
        <w:spacing w:before="0" w:after="0"/>
        <w:ind w:left="120"/>
        <w:jc w:val="center"/>
      </w:pPr>
      <w:r>
        <w:rPr>
          <w:rFonts w:ascii="Times New Roman" w:hAnsi="Times New Roman"/>
          <w:b w:val="false"/>
          <w:i w:val="false"/>
          <w:color w:val="000000"/>
          <w:sz w:val="21"/>
        </w:rPr>
        <w:t>[Filed 3/12/87, Notice 1/25/87—published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6/8/90, Notice 1/10/90—published 6/27/90, effective 8/1/90]</w:t>
      </w:r>
    </w:p>
    <w:p>
      <w:pPr>
        <w:spacing w:before="0" w:after="0"/>
        <w:ind w:left="120"/>
        <w:jc w:val="center"/>
      </w:pPr>
      <w:r>
        <w:rPr>
          <w:rFonts w:ascii="Times New Roman" w:hAnsi="Times New Roman"/>
          <w:b w:val="false"/>
          <w:i w:val="false"/>
          <w:color w:val="000000"/>
          <w:sz w:val="21"/>
        </w:rPr>
        <w:t>[Filed 7/17/90, Notice 5/2/90—published 8/8/90, effective 9/12/90]</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1/31/92, Notice 11/13/91—published 2/19/92, effective 3/25/92]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0765C</w:t>
      </w:r>
      <w:r>
        <w:rPr>
          <w:rFonts w:ascii="Times New Roman" w:hAnsi="Times New Roman"/>
          <w:b w:val="false"/>
          <w:i w:val="false"/>
          <w:color w:val="000000"/>
          <w:sz w:val="21"/>
        </w:rPr>
        <w:t xml:space="preserve"> (Notice ARC 0600C,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1/21/15]</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3740C</w:t>
      </w:r>
      <w:r>
        <w:rPr>
          <w:rFonts w:ascii="Times New Roman" w:hAnsi="Times New Roman"/>
          <w:b w:val="false"/>
          <w:i w:val="false"/>
          <w:color w:val="000000"/>
          <w:sz w:val="21"/>
        </w:rPr>
        <w:t xml:space="preserve"> (Notice ARC 3475C,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4577C</w:t>
      </w:r>
      <w:r>
        <w:rPr>
          <w:rFonts w:ascii="Times New Roman" w:hAnsi="Times New Roman"/>
          <w:b w:val="false"/>
          <w:i w:val="false"/>
          <w:color w:val="000000"/>
          <w:sz w:val="21"/>
        </w:rPr>
        <w:t xml:space="preserve"> (Notice ARC 4467C,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63.15(2)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70 days by the Administrative Rules Review Committee, IAB 2/26/86.</w:t>
      </w:r>
      <w:r>
        <w:br/>
      </w:r>
      <w:r>
        <w:rPr>
          <w:rFonts w:ascii="Times New Roman" w:hAnsi="Times New Roman"/>
          <w:b w:val="false"/>
          <w:i w:val="false"/>
          <w:color w:val="000000"/>
          <w:sz w:val="22"/>
        </w:rPr>
        <w:t>Effective date of 63.15(2)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53">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IAC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Rule 481—63.49(135C), effective 7/1/92.</w:t>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footerReference r:id="rId5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63.12.pdf" Type="http://schemas.openxmlformats.org/officeDocument/2006/relationships/hyperlink" Id="rId6"/>
    <Relationship TargetMode="External" Target="https://www.legis.iowa.gov/docs/iac/chapter/481.6.pdf" Type="http://schemas.openxmlformats.org/officeDocument/2006/relationships/hyperlink" Id="rId7"/>
    <Relationship TargetMode="External" Target="https://www.legis.iowa.gov/docs/iac/chapter/481.50.pdf" Type="http://schemas.openxmlformats.org/officeDocument/2006/relationships/hyperlink" Id="rId8"/>
    <Relationship TargetMode="External" Target="https://www.legis.iowa.gov/docs/iac/rule/481.63.3.pdf" Type="http://schemas.openxmlformats.org/officeDocument/2006/relationships/hyperlink" Id="rId9"/>
    <Relationship TargetMode="External" Target="https://www.legis.iowa.gov/docs/iac/rule/481.50.3.pdf" Type="http://schemas.openxmlformats.org/officeDocument/2006/relationships/hyperlink" Id="rId10"/>
    <Relationship TargetMode="External" Target="https://www.legis.iowa.gov/docs/iac/rule/481.50.3.pdf" Type="http://schemas.openxmlformats.org/officeDocument/2006/relationships/hyperlink" Id="rId11"/>
    <Relationship TargetMode="External" Target="https://www.legis.iowa.gov/docs/iac/rule/481.63.7.pdf" Type="http://schemas.openxmlformats.org/officeDocument/2006/relationships/hyperlink" Id="rId12"/>
    <Relationship TargetMode="External" Target="https://www.legis.iowa.gov/docs/iac/rule/481.63.7.pdf" Type="http://schemas.openxmlformats.org/officeDocument/2006/relationships/hyperlink" Id="rId13"/>
    <Relationship TargetMode="External" Target="https://www.legis.iowa.gov/docs/ico/chapter/135C.33.pdf" Type="http://schemas.openxmlformats.org/officeDocument/2006/relationships/hyperlink" Id="rId14"/>
    <Relationship TargetMode="External" Target="https://www.legis.iowa.gov/docs/iac/rule/481.50.9.pdf" Type="http://schemas.openxmlformats.org/officeDocument/2006/relationships/hyperlink" Id="rId15"/>
    <Relationship TargetMode="External" Target="https://www.legis.iowa.gov/docs/iac/chapter/481.59.pdf" Type="http://schemas.openxmlformats.org/officeDocument/2006/relationships/hyperlink" Id="rId16"/>
    <Relationship TargetMode="External" Target="https://www.legis.iowa.gov/docs/ico/chapter/135C.16.pdf" Type="http://schemas.openxmlformats.org/officeDocument/2006/relationships/hyperlink" Id="rId17"/>
    <Relationship TargetMode="External" Target="https://www.legis.iowa.gov/docs/ico/chapter/229.pdf" Type="http://schemas.openxmlformats.org/officeDocument/2006/relationships/hyperlink" Id="rId18"/>
    <Relationship TargetMode="External" Target="https://www.legis.iowa.gov/docs/iac/rule/481.63.11.pdf" Type="http://schemas.openxmlformats.org/officeDocument/2006/relationships/hyperlink" Id="rId19"/>
    <Relationship TargetMode="External" Target="https://www.legis.iowa.gov/docs/iac/rule/481.63.11.pdf" Type="http://schemas.openxmlformats.org/officeDocument/2006/relationships/hyperlink" Id="rId20"/>
    <Relationship TargetMode="External" Target="https://www.legis.iowa.gov/docs/iac/rule/481.63.11.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ac/rule/481.63.11.pdf" Type="http://schemas.openxmlformats.org/officeDocument/2006/relationships/hyperlink" Id="rId24"/>
    <Relationship TargetMode="External" Target="https://www.legis.iowa.gov/docs/ico/chapter/228.1.pdf" Type="http://schemas.openxmlformats.org/officeDocument/2006/relationships/hyperlink" Id="rId25"/>
    <Relationship TargetMode="External" Target="https://www.legis.iowa.gov/docs/iac/rule/481.63.11.pdf" Type="http://schemas.openxmlformats.org/officeDocument/2006/relationships/hyperlink" Id="rId26"/>
    <Relationship TargetMode="External" Target="https://www.legis.iowa.gov/docs/iac/rule/481.63.11.pdf" Type="http://schemas.openxmlformats.org/officeDocument/2006/relationships/hyperlink" Id="rId27"/>
    <Relationship TargetMode="External" Target="https://www.legis.iowa.gov/docs/iac/rule/481.63.11.pdf" Type="http://schemas.openxmlformats.org/officeDocument/2006/relationships/hyperlink" Id="rId28"/>
    <Relationship TargetMode="External" Target="https://www.legis.iowa.gov/docs/iac/rule/481.63.11.pdf" Type="http://schemas.openxmlformats.org/officeDocument/2006/relationships/hyperlink" Id="rId29"/>
    <Relationship TargetMode="External" Target="https://www.legis.iowa.gov/docs/iac/rule/481.63.11.pdf" Type="http://schemas.openxmlformats.org/officeDocument/2006/relationships/hyperlink" Id="rId30"/>
    <Relationship TargetMode="External" Target="https://www.legis.iowa.gov/docs/iac/chapter/481.59.pdf" Type="http://schemas.openxmlformats.org/officeDocument/2006/relationships/hyperlink" Id="rId31"/>
    <Relationship TargetMode="External" Target="https://www.legis.iowa.gov/docs/iac/rule/481.50.10.pdf" Type="http://schemas.openxmlformats.org/officeDocument/2006/relationships/hyperlink" Id="rId32"/>
    <Relationship TargetMode="External" Target="https://www.legis.iowa.gov/docs/iac/rule/481.63.8.pdf" Type="http://schemas.openxmlformats.org/officeDocument/2006/relationships/hyperlink" Id="rId33"/>
    <Relationship TargetMode="External" Target="https://www.legis.iowa.gov/docs/iac/rule/481.63.16.pdf" Type="http://schemas.openxmlformats.org/officeDocument/2006/relationships/hyperlink" Id="rId34"/>
    <Relationship TargetMode="External" Target="https://www.legis.iowa.gov/docs/ico/chapter/124.pdf" Type="http://schemas.openxmlformats.org/officeDocument/2006/relationships/hyperlink" Id="rId35"/>
    <Relationship TargetMode="External" Target="https://www.legis.iowa.gov/docs/iac/rule/481.63.16.pdf" Type="http://schemas.openxmlformats.org/officeDocument/2006/relationships/hyperlink" Id="rId36"/>
    <Relationship TargetMode="External" Target="https://www.legis.iowa.gov/docs/iac/rule/481.63.16.pdf" Type="http://schemas.openxmlformats.org/officeDocument/2006/relationships/hyperlink" Id="rId37"/>
    <Relationship TargetMode="External" Target="https://www.legis.iowa.gov/docs/iac/rule/481.63.16.pdf" Type="http://schemas.openxmlformats.org/officeDocument/2006/relationships/hyperlink" Id="rId38"/>
    <Relationship TargetMode="External" Target="https://www.legis.iowa.gov/docs/iac/rule/481.63.16.pdf" Type="http://schemas.openxmlformats.org/officeDocument/2006/relationships/hyperlink" Id="rId39"/>
    <Relationship TargetMode="External" Target="https://www.legis.iowa.gov/docs/ico/chapter/137F.2.pdf" Type="http://schemas.openxmlformats.org/officeDocument/2006/relationships/hyperlink" Id="rId40"/>
    <Relationship TargetMode="External" Target="https://www.legis.iowa.gov/docs/iac/rule/481.63.19.pdf" Type="http://schemas.openxmlformats.org/officeDocument/2006/relationships/hyperlink" Id="rId41"/>
    <Relationship TargetMode="External" Target="https://www.legis.iowa.gov/docs/ico/chapter/229.pdf" Type="http://schemas.openxmlformats.org/officeDocument/2006/relationships/hyperlink" Id="rId42"/>
    <Relationship TargetMode="External" Target="https://www.legis.iowa.gov/docs/ico/chapter/135C.46.pdf" Type="http://schemas.openxmlformats.org/officeDocument/2006/relationships/hyperlink" Id="rId43"/>
    <Relationship TargetMode="External" Target="https://www.legis.iowa.gov/docs/ico/chapter/144A.pdf" Type="http://schemas.openxmlformats.org/officeDocument/2006/relationships/hyperlink" Id="rId44"/>
    <Relationship TargetMode="External" Target="https://www.legis.iowa.gov/docs/ico/chapter/135C.24.pdf" Type="http://schemas.openxmlformats.org/officeDocument/2006/relationships/hyperlink" Id="rId45"/>
    <Relationship TargetMode="External" Target="https://www.legis.iowa.gov/docs/ico/chapter/135C.24.pdf" Type="http://schemas.openxmlformats.org/officeDocument/2006/relationships/hyperlink" Id="rId46"/>
    <Relationship TargetMode="External" Target="https://www.legis.iowa.gov/docs/ico/chapter/347B.5.pdf" Type="http://schemas.openxmlformats.org/officeDocument/2006/relationships/hyperlink" Id="rId47"/>
    <Relationship TargetMode="External" Target="https://www.legis.iowa.gov/docs/ico/chapter/235E.pdf" Type="http://schemas.openxmlformats.org/officeDocument/2006/relationships/hyperlink" Id="rId48"/>
    <Relationship TargetMode="External" Target="https://www.legis.iowa.gov/docs/iac/chapter/481.52.pdf" Type="http://schemas.openxmlformats.org/officeDocument/2006/relationships/hyperlink" Id="rId49"/>
    <Relationship TargetMode="External" Target="https://www.legis.iowa.gov/docs/ico/chapter/235B.16.pdf" Type="http://schemas.openxmlformats.org/officeDocument/2006/relationships/hyperlink" Id="rId50"/>
    <Relationship TargetMode="External" Target="https://www.legis.iowa.gov/docs/ico/chapter/142D.pdf" Type="http://schemas.openxmlformats.org/officeDocument/2006/relationships/hyperlink" Id="rId51"/>
    <Relationship TargetMode="External" Target="https://www.legis.iowa.gov/docs/ico/chapter/135C.pdf" Type="http://schemas.openxmlformats.org/officeDocument/2006/relationships/hyperlink" Id="rId52"/>
    <Relationship TargetMode="External" Target="https://www.legis.iowa.gov/docs/ico/chapter/17A.8.pdf" Type="http://schemas.openxmlformats.org/officeDocument/2006/relationships/hyperlink" Id="rId53"/>
    <Relationship Target="footer.xml" Type="http://schemas.openxmlformats.org/officeDocument/2006/relationships/footer" Id="rId5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