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506</w:t>
      </w:r>
    </w:p>
    <w:p>
      <w:pPr>
        <w:spacing w:before="0" w:after="0"/>
        <w:ind w:left="120"/>
        <w:jc w:val="center"/>
      </w:pPr>
      <w:r>
        <w:rPr>
          <w:rFonts w:ascii="Times New Roman" w:hAnsi="Times New Roman"/>
          <w:b w:val="false"/>
          <w:i w:val="false"/>
          <w:color w:val="000000"/>
          <w:sz w:val="21"/>
        </w:rPr>
        <w:t xml:space="preserve">MODEL RULES FOR CONTESTED CASES BEFORE </w:t>
      </w:r>
      <w:r>
        <w:br/>
      </w:r>
      <w:r>
        <w:rPr>
          <w:rFonts w:ascii="Times New Roman" w:hAnsi="Times New Roman"/>
          <w:b w:val="false"/>
          <w:i w:val="false"/>
          <w:color w:val="000000"/>
          <w:sz w:val="21"/>
        </w:rPr>
        <w:t xml:space="preserve">LICENSING BOARDS AND SETTLEMENTS </w:t>
      </w:r>
    </w:p>
    <w:p>
      <w:pPr>
        <w:spacing w:before="0" w:after="0"/>
        <w:ind w:left="120"/>
        <w:jc w:val="center"/>
      </w:pPr>
      <w:r>
        <w:rPr>
          <w:rFonts w:ascii="Times New Roman" w:hAnsi="Times New Roman"/>
          <w:b w:val="false"/>
          <w:i w:val="false"/>
          <w:color w:val="000000"/>
          <w:sz w:val="14"/>
        </w:rPr>
        <w:t>[Prior to 9/18/24, see Professional Licensure Division[645] Ch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3/28/30</w:t>
      </w:r>
    </w:p>
    <w:p>
      <w:pPr>
        <w:spacing w:before="0" w:after="0"/>
        <w:ind w:left="120"/>
        <w:jc w:val="both"/>
      </w:pPr>
      <w:r>
        <w:rPr>
          <w:rFonts w:ascii="Times New Roman" w:hAnsi="Times New Roman"/>
          <w:b/>
          <w:i w:val="false"/>
          <w:color w:val="000000"/>
          <w:sz w:val="22"/>
        </w:rPr>
        <w:t>481—506.1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model chapter provides rules for contested cases and settlements that licensing boards and commissions may adopt for procedural consistency. This chapter is deemed applicable to any licensing board under the administrative authority of the department, excluding the department’s attached units, unless the licensing board has separate rulemaking authority and has adopted rules governing contested cases and settlements.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“Attached units” </w:t>
      </w:r>
      <w:r>
        <w:rPr>
          <w:rFonts w:ascii="Times New Roman" w:hAnsi="Times New Roman"/>
          <w:b w:val="false"/>
          <w:i w:val="false"/>
          <w:color w:val="000000"/>
          <w:sz w:val="22"/>
        </w:rPr>
        <w:t xml:space="preserve">includes the employment appeal board, office of civil rights, racing and gaming commission, and state public defender’s office as described in Iowa Code chapter </w:t>
      </w:r>
      <w:hyperlink r:id="rId5">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7">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“Licensing board”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includes any licensing board set forth in Iowa Code section </w:t>
      </w:r>
      <w:hyperlink r:id="rId8">
        <w:r>
          <w:rPr>
            <w:rStyle w:val="Hyperlink"/>
            <w:rFonts w:ascii="Times New Roman" w:hAnsi="Times New Roman"/>
            <w:b w:val="false"/>
            <w:i w:val="false"/>
            <w:color w:val="000000"/>
            <w:sz w:val="22"/>
          </w:rPr>
          <w:t>272C.1(6)</w:t>
        </w:r>
      </w:hyperlink>
      <w:r>
        <w:rPr>
          <w:rFonts w:ascii="Times New Roman" w:hAnsi="Times New Roman"/>
          <w:b w:val="false"/>
          <w:i w:val="false"/>
          <w:color w:val="000000"/>
          <w:sz w:val="22"/>
        </w:rPr>
        <w:t xml:space="preserve"> that is under the administrative authority of the department pursuant to Iowa Code chapter </w:t>
      </w:r>
      <w:hyperlink r:id="rId9">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with the exception of the director or the department as referenced in Iowa Code section </w:t>
      </w:r>
      <w:hyperlink r:id="rId10">
        <w:r>
          <w:rPr>
            <w:rStyle w:val="Hyperlink"/>
            <w:rFonts w:ascii="Times New Roman" w:hAnsi="Times New Roman"/>
            <w:b w:val="false"/>
            <w:i w:val="false"/>
            <w:color w:val="000000"/>
            <w:sz w:val="22"/>
          </w:rPr>
          <w:t>272C.1(6)</w:t>
        </w:r>
      </w:hyperlink>
      <w:r>
        <w:rPr>
          <w:rFonts w:ascii="Times New Roman" w:hAnsi="Times New Roman"/>
          <w:b w:val="false"/>
          <w:i/>
          <w:color w:val="000000"/>
          <w:sz w:val="22"/>
        </w:rPr>
        <w:t>“ad”</w:t>
      </w:r>
      <w:r>
        <w:rPr>
          <w:rFonts w:ascii="Times New Roman" w:hAnsi="Times New Roman"/>
          <w:b w:val="false"/>
          <w:i w:val="false"/>
          <w:color w:val="000000"/>
          <w:sz w:val="22"/>
        </w:rPr>
        <w:t xml:space="preserve"> and </w:t>
      </w:r>
      <w:r>
        <w:rPr>
          <w:rFonts w:ascii="Times New Roman" w:hAnsi="Times New Roman"/>
          <w:b w:val="false"/>
          <w:i/>
          <w:color w:val="000000"/>
          <w:sz w:val="22"/>
        </w:rPr>
        <w:t>“ae,”</w:t>
      </w:r>
      <w:r>
        <w:rPr>
          <w:rFonts w:ascii="Times New Roman" w:hAnsi="Times New Roman"/>
          <w:b w:val="false"/>
          <w:i w:val="false"/>
          <w:color w:val="000000"/>
          <w:sz w:val="22"/>
        </w:rPr>
        <w:t xml:space="preserve"> and also includes any other licensing board under the administrative authority of the department pursuant to Iowa Code chapter </w:t>
      </w:r>
      <w:hyperlink r:id="rId11">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that has expressly adopted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 including the state of Iowa as represented by the assistant attorney general assigned to prosecute the case on behalf of the public interest, the respondent or applicant, or an intervenor.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includes the licensing board, administrative law judge, or panel of not less than three board members who are licensed in the profession as described in Iowa Code section </w:t>
      </w:r>
      <w:hyperlink r:id="rId12">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“Probable cause” </w:t>
      </w:r>
      <w:r>
        <w:rPr>
          <w:rFonts w:ascii="Times New Roman" w:hAnsi="Times New Roman"/>
          <w:b w:val="false"/>
          <w:i w:val="false"/>
          <w:color w:val="000000"/>
          <w:sz w:val="22"/>
        </w:rPr>
        <w:t xml:space="preserve">means a reasonable ground for belief in the existence of facts warranting the specified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means a majority of the members of the board unless otherwise defined by the board’s authorizing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will be computed as provided in Iowa Code section </w:t>
      </w:r>
      <w:hyperlink r:id="rId13">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 Except for good cause stated in the record, before extending or shortening the time to take any action, the presiding officer will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481—506.4</w:t>
      </w:r>
      <w:r>
        <w:rPr>
          <w:rFonts w:ascii="Times New Roman" w:hAnsi="Times New Roman"/>
          <w:b/>
          <w:i w:val="false"/>
          <w:color w:val="000000"/>
          <w:sz w:val="22"/>
        </w:rPr>
        <w:t xml:space="preserve">(17A) </w:t>
      </w:r>
      <w:r>
        <w:rPr>
          <w:rFonts w:ascii="Times New Roman" w:hAnsi="Times New Roman"/>
          <w:b/>
          <w:i w:val="false"/>
          <w:color w:val="000000"/>
          <w:sz w:val="22"/>
        </w:rPr>
        <w:t xml:space="preserve">Probable cause. </w:t>
      </w:r>
      <w:r>
        <w:rPr>
          <w:rFonts w:ascii="Times New Roman" w:hAnsi="Times New Roman"/>
          <w:b w:val="false"/>
          <w:i w:val="false"/>
          <w:color w:val="000000"/>
          <w:sz w:val="22"/>
        </w:rPr>
        <w:t>If the board finds there is probable cause for taking disciplinary action against a licensee following investigation, the board may order that a contested case hearing be commenced by the filing and service of a statement of charges and notice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481—506.5</w:t>
      </w:r>
      <w:r>
        <w:rPr>
          <w:rFonts w:ascii="Times New Roman" w:hAnsi="Times New Roman"/>
          <w:b/>
          <w:i w:val="false"/>
          <w:color w:val="000000"/>
          <w:sz w:val="22"/>
        </w:rPr>
        <w:t xml:space="preserve">(17A) </w:t>
      </w:r>
      <w:r>
        <w:rPr>
          <w:rFonts w:ascii="Times New Roman" w:hAnsi="Times New Roman"/>
          <w:b/>
          <w:i w:val="false"/>
          <w:color w:val="000000"/>
          <w:sz w:val="22"/>
        </w:rPr>
        <w:t xml:space="preserve">Statement of charges and 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506.5(1)</w:t>
      </w:r>
      <w:r>
        <w:rPr>
          <w:rFonts w:ascii="Times New Roman" w:hAnsi="Times New Roman"/>
          <w:b w:val="false"/>
          <w:i w:val="false"/>
          <w:color w:val="000000"/>
          <w:sz w:val="22"/>
        </w:rPr>
        <w:t> </w:t>
      </w:r>
      <w:r>
        <w:rPr>
          <w:rFonts w:ascii="Times New Roman" w:hAnsi="Times New Roman"/>
          <w:b w:val="false"/>
          <w:i/>
          <w:color w:val="000000"/>
          <w:sz w:val="22"/>
        </w:rPr>
        <w:t xml:space="preserve">Legal review. </w:t>
      </w:r>
      <w:r>
        <w:rPr>
          <w:rFonts w:ascii="Times New Roman" w:hAnsi="Times New Roman"/>
          <w:b w:val="false"/>
          <w:i w:val="false"/>
          <w:color w:val="000000"/>
          <w:sz w:val="22"/>
        </w:rPr>
        <w:t>Every statement of charges and notice of hearing prepared by the board will be reviewed by the office of the attorney general prior to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506.5(2)</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Service of the statement of charges and notice of hearing constitutes the commencement of the contested case proceeding. Service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Restricted 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Signed acknowledgment accepting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 when service cannot be accomplished using the above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506.5(3)</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statement of charges and notice of hearing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probable cause to file the statement of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containing sufficient detail to give the respondent fair notice of the allegations so that the respondent may adequately respond to the charges, and to give the public notice of the matters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assistant attorney general designated as prosecutor for the state and the parties’ counsel,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when applicable, and pursuant to Iowa Code section </w:t>
      </w:r>
      <w:hyperlink r:id="rId14">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that the presiding officer be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Notification of the time period in which the respondent may file an answer;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respondent’s right to request a closed hearing, if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506.5(4)</w:t>
      </w:r>
      <w:r>
        <w:rPr>
          <w:rFonts w:ascii="Times New Roman" w:hAnsi="Times New Roman"/>
          <w:b w:val="false"/>
          <w:i w:val="false"/>
          <w:color w:val="000000"/>
          <w:sz w:val="22"/>
        </w:rPr>
        <w:t> </w:t>
      </w:r>
      <w:r>
        <w:rPr>
          <w:rFonts w:ascii="Times New Roman" w:hAnsi="Times New Roman"/>
          <w:b w:val="false"/>
          <w:i/>
          <w:color w:val="000000"/>
          <w:sz w:val="22"/>
        </w:rPr>
        <w:t xml:space="preserve">Public record. </w:t>
      </w:r>
      <w:r>
        <w:rPr>
          <w:rFonts w:ascii="Times New Roman" w:hAnsi="Times New Roman"/>
          <w:b w:val="false"/>
          <w:i w:val="false"/>
          <w:color w:val="000000"/>
          <w:sz w:val="22"/>
        </w:rPr>
        <w:t xml:space="preserve">A statement of charges and notice of hearing is a public record and open for inspection under Iowa Code chapter </w:t>
      </w:r>
      <w:hyperlink r:id="rId1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Notwithstanding, investigative information included in the statement of charges and notice of hearing as set forth in subparagraph </w:t>
      </w:r>
      <w:hyperlink r:id="rId16">
        <w:r>
          <w:rPr>
            <w:rStyle w:val="Hyperlink"/>
            <w:rFonts w:ascii="Times New Roman" w:hAnsi="Times New Roman"/>
            <w:b w:val="false"/>
            <w:i w:val="false"/>
            <w:color w:val="000000"/>
            <w:sz w:val="22"/>
          </w:rPr>
          <w:t>506.5(3)</w:t>
        </w:r>
      </w:hyperlink>
      <w:r>
        <w:rPr>
          <w:rFonts w:ascii="Times New Roman" w:hAnsi="Times New Roman"/>
          <w:b w:val="false"/>
          <w:i/>
          <w:color w:val="000000"/>
          <w:sz w:val="22"/>
        </w:rPr>
        <w:t>“e”</w:t>
      </w:r>
      <w:r>
        <w:rPr>
          <w:rFonts w:ascii="Times New Roman" w:hAnsi="Times New Roman"/>
          <w:b w:val="false"/>
          <w:i w:val="false"/>
          <w:color w:val="000000"/>
          <w:sz w:val="22"/>
        </w:rPr>
        <w:t xml:space="preserve"> is confidential pursuant to Iowa Code section </w:t>
      </w:r>
      <w:hyperlink r:id="rId17">
        <w:r>
          <w:rPr>
            <w:rStyle w:val="Hyperlink"/>
            <w:rFonts w:ascii="Times New Roman" w:hAnsi="Times New Roman"/>
            <w:b w:val="false"/>
            <w:i w:val="false"/>
            <w:color w:val="000000"/>
            <w:sz w:val="22"/>
          </w:rPr>
          <w:t>272C.6(4)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should not be included in the public record. Such confidential information should be redacted from the public record or set forth in a separate document that is not included with the public record.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481—506.6</w:t>
      </w:r>
      <w:r>
        <w:rPr>
          <w:rFonts w:ascii="Times New Roman" w:hAnsi="Times New Roman"/>
          <w:b/>
          <w:i w:val="false"/>
          <w:color w:val="000000"/>
          <w:sz w:val="22"/>
        </w:rPr>
        <w:t xml:space="preserve">(17A,272C)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Following the filing of the statement of charges and notice of hearing, the office of the attorney general will be responsible for the legal representation of the public interest in all proceedings before the board. The assistant attorney general assigned to prosecute a contested case before the board will not represent the board in that case but will represent the public interest. All other parties to a proceeding before the board are entitled to legal representation at their own expense.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481—506.7</w:t>
      </w:r>
      <w:r>
        <w:rPr>
          <w:rFonts w:ascii="Times New Roman" w:hAnsi="Times New Roman"/>
          <w:b/>
          <w:i w:val="false"/>
          <w:color w:val="000000"/>
          <w:sz w:val="22"/>
        </w:rPr>
        <w:t xml:space="preserve">(17A,272C) </w:t>
      </w:r>
      <w:r>
        <w:rPr>
          <w:rFonts w:ascii="Times New Roman" w:hAnsi="Times New Roman"/>
          <w:b/>
          <w:i w:val="false"/>
          <w:color w:val="000000"/>
          <w:sz w:val="22"/>
        </w:rPr>
        <w:t xml:space="preserve">Presiding officer in a disciplinary contested case. </w:t>
      </w:r>
      <w:r>
        <w:rPr>
          <w:rFonts w:ascii="Times New Roman" w:hAnsi="Times New Roman"/>
          <w:b w:val="false"/>
          <w:i w:val="false"/>
          <w:color w:val="000000"/>
          <w:sz w:val="22"/>
        </w:rPr>
        <w:t xml:space="preserve">The presiding officer in a disciplinary contested case may be the board, an administrative law judge delegated in accordance with rule </w:t>
      </w:r>
      <w:hyperlink r:id="rId18">
        <w:r>
          <w:rPr>
            <w:rStyle w:val="Hyperlink"/>
            <w:rFonts w:ascii="Times New Roman" w:hAnsi="Times New Roman"/>
            <w:b w:val="false"/>
            <w:i w:val="false"/>
            <w:color w:val="000000"/>
            <w:sz w:val="22"/>
          </w:rPr>
          <w:t>481—506.8</w:t>
        </w:r>
      </w:hyperlink>
      <w:r>
        <w:rPr>
          <w:rFonts w:ascii="Times New Roman" w:hAnsi="Times New Roman"/>
          <w:b w:val="false"/>
          <w:i w:val="false"/>
          <w:color w:val="000000"/>
          <w:sz w:val="22"/>
        </w:rPr>
        <w:t xml:space="preserve">(17A,272C), or a panel of the board as described in Iowa Code section </w:t>
      </w:r>
      <w:hyperlink r:id="rId19">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The board may also request that an administrative law judge assist the board with initial rulings on prehearing matters. Decisions of the administrative law judge serving in this capacity are subject to the interlocutory appeal provisions of rule </w:t>
      </w:r>
      <w:hyperlink r:id="rId20">
        <w:r>
          <w:rPr>
            <w:rStyle w:val="Hyperlink"/>
            <w:rFonts w:ascii="Times New Roman" w:hAnsi="Times New Roman"/>
            <w:b w:val="false"/>
            <w:i w:val="false"/>
            <w:color w:val="000000"/>
            <w:sz w:val="22"/>
          </w:rPr>
          <w:t>481—506.24</w:t>
        </w:r>
      </w:hyperlink>
      <w:r>
        <w:rPr>
          <w:rFonts w:ascii="Times New Roman" w:hAnsi="Times New Roman"/>
          <w:b w:val="false"/>
          <w:i w:val="false"/>
          <w:color w:val="000000"/>
          <w:sz w:val="22"/>
        </w:rPr>
        <w:t>(17A). An administrative law judge may also assist and advise the board at the contested case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481—506.8</w:t>
      </w:r>
      <w:r>
        <w:rPr>
          <w:rFonts w:ascii="Times New Roman" w:hAnsi="Times New Roman"/>
          <w:b/>
          <w:i w:val="false"/>
          <w:color w:val="000000"/>
          <w:sz w:val="22"/>
        </w:rPr>
        <w:t xml:space="preserve">(17A,272C) </w:t>
      </w:r>
      <w:r>
        <w:rPr>
          <w:rFonts w:ascii="Times New Roman" w:hAnsi="Times New Roman"/>
          <w:b/>
          <w:i w:val="false"/>
          <w:color w:val="000000"/>
          <w:sz w:val="22"/>
        </w:rPr>
        <w:t xml:space="preserve">Delegation by board to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506.8(1)</w:t>
      </w:r>
      <w:r>
        <w:rPr>
          <w:rFonts w:ascii="Times New Roman" w:hAnsi="Times New Roman"/>
          <w:b w:val="false"/>
          <w:i w:val="false"/>
          <w:color w:val="000000"/>
          <w:sz w:val="22"/>
        </w:rPr>
        <w:t> </w:t>
      </w:r>
      <w:r>
        <w:rPr>
          <w:rFonts w:ascii="Times New Roman" w:hAnsi="Times New Roman"/>
          <w:b w:val="false"/>
          <w:i/>
          <w:color w:val="000000"/>
          <w:sz w:val="22"/>
        </w:rPr>
        <w:t xml:space="preserve">Delegation. </w:t>
      </w:r>
      <w:r>
        <w:rPr>
          <w:rFonts w:ascii="Times New Roman" w:hAnsi="Times New Roman"/>
          <w:b w:val="false"/>
          <w:i w:val="false"/>
          <w:color w:val="000000"/>
          <w:sz w:val="22"/>
        </w:rPr>
        <w:t xml:space="preserve">Upon majority vote of the board, a contested case, whether disciplinary or nondisciplinary, may be delegated to an administrative law judge.  The board may delegate the entirety of the case or parts of the case to the administrative law judge.  The delegation may occur at the time of filing the notice of hearing and statement of charges and should occur as early as practicable.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506.8(2)</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decisions. </w:t>
      </w:r>
      <w:r>
        <w:rPr>
          <w:rFonts w:ascii="Times New Roman" w:hAnsi="Times New Roman"/>
          <w:b w:val="false"/>
          <w:i w:val="false"/>
          <w:color w:val="000000"/>
          <w:sz w:val="22"/>
        </w:rPr>
        <w:t xml:space="preserve">Decisions issued by an administrative law judge are proposed decisions in accordance with Iowa Code section </w:t>
      </w:r>
      <w:hyperlink r:id="rId21">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 xml:space="preserve">. A proposed decision issued by an administrative law judge becomes a final decision if not timely appealed or reviewed in accordance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 xml:space="preserve">Any adversely affected party may appeal a proposed decision to the board within 30 days after issuance of the proposed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 xml:space="preserve">The board may initiate review of the proposed decision on its own motion at any time within 30 days following the issuance of the proposed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Exhaustion. </w:t>
      </w:r>
      <w:r>
        <w:rPr>
          <w:rFonts w:ascii="Times New Roman" w:hAnsi="Times New Roman"/>
          <w:b w:val="false"/>
          <w:i w:val="false"/>
          <w:color w:val="000000"/>
          <w:sz w:val="22"/>
        </w:rPr>
        <w:t xml:space="preserve">A party must timely appeal a proposed decision to the board in order to adequately exhaust administrative remedies.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the filing of a timely notice of appeal with the board.  The notice of appeal must be signed by the appealing party or an attorney for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party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grounds for relief.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506.8(3)</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506.8(4)</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 xml:space="preserve">The board will issue a schedule for consideration of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 xml:space="preserve">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  The board may resolve the appeal on the briefs or provide an opportunity for oral argument. The board may shorten or extend the briefing period as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The record on appeal or review shall be the entire record made before the administrative law judge.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481—506.9</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in a nondisciplinary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506.9(1)</w:t>
      </w:r>
      <w:r>
        <w:rPr>
          <w:rFonts w:ascii="Times New Roman" w:hAnsi="Times New Roman"/>
          <w:b w:val="false"/>
          <w:i w:val="false"/>
          <w:color w:val="000000"/>
          <w:sz w:val="22"/>
        </w:rPr>
        <w:t> </w:t>
      </w:r>
      <w:r>
        <w:rPr>
          <w:rFonts w:ascii="Times New Roman" w:hAnsi="Times New Roman"/>
          <w:b w:val="false"/>
          <w:i w:val="false"/>
          <w:color w:val="000000"/>
          <w:sz w:val="22"/>
        </w:rPr>
        <w:t>Any party in a nondisciplinary contested case who wishes to request that the presiding officer assigned to render a proposed decision be an administrative law judge employed by the department of inspections, appeals, and licensing must file a written request within 20 days after service of a notice of hearing that identifies or describes the presiding officer as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506.9(2)</w:t>
      </w:r>
      <w:r>
        <w:rPr>
          <w:rFonts w:ascii="Times New Roman" w:hAnsi="Times New Roman"/>
          <w:b w:val="false"/>
          <w:i w:val="false"/>
          <w:color w:val="000000"/>
          <w:sz w:val="22"/>
        </w:rPr>
        <w:t> </w:t>
      </w:r>
      <w:r>
        <w:rPr>
          <w:rFonts w:ascii="Times New Roman" w:hAnsi="Times New Roman"/>
          <w:b w:val="false"/>
          <w:i w:val="false"/>
          <w:color w:val="000000"/>
          <w:sz w:val="22"/>
        </w:rPr>
        <w:t>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issue a written ruling specifying the grounds for its decision within 20 days after a request for an administrative law judge is filed. If the ruling is contingent upon the availability of an administrative law judge with the qualifications identified in subrule </w:t>
      </w:r>
      <w:hyperlink r:id="rId22">
        <w:r>
          <w:rPr>
            <w:rStyle w:val="Hyperlink"/>
            <w:rFonts w:ascii="Times New Roman" w:hAnsi="Times New Roman"/>
            <w:b w:val="false"/>
            <w:i w:val="false"/>
            <w:color w:val="000000"/>
            <w:sz w:val="22"/>
          </w:rPr>
          <w:t>506.9(4)</w:t>
        </w:r>
      </w:hyperlink>
      <w:r>
        <w:rPr>
          <w:rFonts w:ascii="Times New Roman" w:hAnsi="Times New Roman"/>
          <w:b w:val="false"/>
          <w:i w:val="false"/>
          <w:color w:val="000000"/>
          <w:sz w:val="22"/>
        </w:rPr>
        <w:t>, the parties shall be notified at least ten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506.9(4)</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in a nondisciplinary contested case are subject to appeal to the board. A party must seek appeal to the board in order to exhaust adequate administrative remedies. Such appeals must be filed within ten days of the date the challenged ruling was issued by the administrative law judge, but no later than the time for compliance with the order or the date of hearing, whichever is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506.9(5)</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by law, when reviewing a proposed decision of an administrative law judge in a nondisciplinary contested case upon appeal, the board will have the powers of and will comply with the provisions of subrule </w:t>
      </w:r>
      <w:hyperlink r:id="rId23">
        <w:r>
          <w:rPr>
            <w:rStyle w:val="Hyperlink"/>
            <w:rFonts w:ascii="Times New Roman" w:hAnsi="Times New Roman"/>
            <w:b w:val="false"/>
            <w:i w:val="false"/>
            <w:color w:val="000000"/>
            <w:sz w:val="22"/>
          </w:rPr>
          <w:t>506.8(2)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481—506.10</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will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Has a spouse or relative within the third degree of relationship that 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506.10(2)</w:t>
      </w:r>
      <w:r>
        <w:rPr>
          <w:rFonts w:ascii="Times New Roman" w:hAnsi="Times New Roman"/>
          <w:b w:val="false"/>
          <w:i w:val="false"/>
          <w:color w:val="000000"/>
          <w:sz w:val="22"/>
        </w:rPr>
        <w:t> </w:t>
      </w:r>
      <w:r>
        <w:rPr>
          <w:rFonts w:ascii="Times New Roman" w:hAnsi="Times New Roman"/>
          <w:b w:val="false"/>
          <w:i w:val="false"/>
          <w:color w:val="000000"/>
          <w:sz w:val="22"/>
        </w:rPr>
        <w:t>The term “personally investigated” means taking affirmative steps to interview witnesses directly or to obtain documents or other information directly. The term “personally investigated”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direction and supervision of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Unsolicited receipt of information that is relayed to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another person’s investigative work product in the course of determining whether there is probable cause to initiate a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Exposure to factual information while performing other agency functions, including fact gathering for purposes other than investigation of the matter that culminates in a contested case. A person voluntarily appearing before the board or a committee of the board waives any objection to a board member or board staff both participating in the appearance and later participating as a decision maker or aid to the decision maker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506.10(3)</w:t>
      </w:r>
      <w:r>
        <w:rPr>
          <w:rFonts w:ascii="Times New Roman" w:hAnsi="Times New Roman"/>
          <w:b w:val="false"/>
          <w:i w:val="false"/>
          <w:color w:val="000000"/>
          <w:sz w:val="22"/>
        </w:rPr>
        <w:t> </w:t>
      </w:r>
      <w:r>
        <w:rPr>
          <w:rFonts w:ascii="Times New Roman" w:hAnsi="Times New Roman"/>
          <w:b w:val="false"/>
          <w:i w:val="false"/>
          <w:color w:val="000000"/>
          <w:sz w:val="22"/>
        </w:rPr>
        <w:t xml:space="preserve">Factual information relevant to the merits of a contested case received by a person who later serves as presiding officer in that case will be disclosed if required by Iowa Code section </w:t>
      </w:r>
      <w:hyperlink r:id="rId24">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rule </w:t>
      </w:r>
      <w:hyperlink r:id="rId25">
        <w:r>
          <w:rPr>
            <w:rStyle w:val="Hyperlink"/>
            <w:rFonts w:ascii="Times New Roman" w:hAnsi="Times New Roman"/>
            <w:b w:val="false"/>
            <w:i w:val="false"/>
            <w:color w:val="000000"/>
            <w:sz w:val="22"/>
          </w:rPr>
          <w:t>481—506.10</w:t>
        </w:r>
      </w:hyperlink>
      <w:r>
        <w:rPr>
          <w:rFonts w:ascii="Times New Roman" w:hAnsi="Times New Roman"/>
          <w:b w:val="false"/>
          <w:i w:val="false"/>
          <w:color w:val="000000"/>
          <w:sz w:val="22"/>
        </w:rPr>
        <w:t xml:space="preserve">(17A), or subrule </w:t>
      </w:r>
      <w:hyperlink r:id="rId26">
        <w:r>
          <w:rPr>
            <w:rStyle w:val="Hyperlink"/>
            <w:rFonts w:ascii="Times New Roman" w:hAnsi="Times New Roman"/>
            <w:b w:val="false"/>
            <w:i w:val="false"/>
            <w:color w:val="000000"/>
            <w:sz w:val="22"/>
          </w:rPr>
          <w:t>506.22(9)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506.10(4)</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that might reasonably be deemed to be a basis for disqualification and decides voluntary withdrawal is unnecessary, that person will submit the relevant information for the record by affidavit, including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27">
        <w:r>
          <w:rPr>
            <w:rStyle w:val="Hyperlink"/>
            <w:rFonts w:ascii="Times New Roman" w:hAnsi="Times New Roman"/>
            <w:b w:val="false"/>
            <w:i w:val="false"/>
            <w:color w:val="000000"/>
            <w:sz w:val="22"/>
          </w:rPr>
          <w:t>506.10(1)</w:t>
        </w:r>
      </w:hyperlink>
      <w:r>
        <w:rPr>
          <w:rFonts w:ascii="Times New Roman" w:hAnsi="Times New Roman"/>
          <w:b w:val="false"/>
          <w:i w:val="false"/>
          <w:color w:val="000000"/>
          <w:sz w:val="22"/>
        </w:rPr>
        <w:t xml:space="preserve">, the party will file a motion supported by an affidavit pursuant to Iowa Code section </w:t>
      </w:r>
      <w:hyperlink r:id="rId28">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 The board will determine the matter as part of the record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506.10(6)</w:t>
      </w:r>
      <w:r>
        <w:rPr>
          <w:rFonts w:ascii="Times New Roman" w:hAnsi="Times New Roman"/>
          <w:b w:val="false"/>
          <w:i w:val="false"/>
          <w:color w:val="000000"/>
          <w:sz w:val="22"/>
        </w:rPr>
        <w:t> </w:t>
      </w:r>
      <w:r>
        <w:rPr>
          <w:rFonts w:ascii="Times New Roman" w:hAnsi="Times New Roman"/>
          <w:b w:val="false"/>
          <w:i w:val="false"/>
          <w:color w:val="000000"/>
          <w:sz w:val="22"/>
        </w:rPr>
        <w:t xml:space="preserve">If, during the course of the hearing, a party first becomes aware of evidence of bias or other grounds for disqualification, the party may move for disqualification but will need to establish the grounds by the introduction of evidence into the record.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481—506.11</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506.11(1)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506.11(2)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481—506.12</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506.12(1)</w:t>
      </w: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Pleadings may be required by rule, by the statement of charges and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506.12(2)</w:t>
      </w:r>
      <w:r>
        <w:rPr>
          <w:rFonts w:ascii="Times New Roman" w:hAnsi="Times New Roman"/>
          <w:b w:val="false"/>
          <w:i w:val="false"/>
          <w:color w:val="000000"/>
          <w:sz w:val="22"/>
        </w:rPr>
        <w:t> </w:t>
      </w:r>
      <w:r>
        <w:rPr>
          <w:rFonts w:ascii="Times New Roman" w:hAnsi="Times New Roman"/>
          <w:b w:val="false"/>
          <w:i/>
          <w:color w:val="000000"/>
          <w:sz w:val="22"/>
        </w:rPr>
        <w:t xml:space="preserve">Answer or appearance. </w:t>
      </w:r>
      <w:r>
        <w:rPr>
          <w:rFonts w:ascii="Times New Roman" w:hAnsi="Times New Roman"/>
          <w:b w:val="false"/>
          <w:i w:val="false"/>
          <w:color w:val="000000"/>
          <w:sz w:val="22"/>
        </w:rPr>
        <w:t>An answer or appearance, if required, shall be filed by respondent within 20 days of service of the statement of charges and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answer or appearance will state the name, address, and telephone number of the person filing the answer; the person or entity on whose behalf it is filed; and the attorney representing that person, if any. If the attorney is not licensed to practice law in Iowa, the attorney must fully comply with </w:t>
      </w:r>
      <w:r>
        <w:rPr>
          <w:rFonts w:ascii="Times New Roman" w:hAnsi="Times New Roman"/>
          <w:b w:val="false"/>
          <w:i w:val="false"/>
          <w:color w:val="000000"/>
          <w:sz w:val="22"/>
        </w:rPr>
        <w:t>Iowa Court Rule 31.14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refuse to consider any defense not raised in the answer that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506.12(3)</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Any notice of hearing or statement of charges may be amended before a responsive pleading has been filed. Otherwise, a party may amend a pleading only with the consent of the other parties or at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481—506.13</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506.13(1)</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every document filed in a contested case proceeding shall be served upon each of the parties of record to the proceeding, including the assistant attorney general designated as prosecutor for the state, simultaneously with its filing. Except for the original statement of charges and notice of hearing and an application for rehearing as provided in Iowa Code section </w:t>
      </w:r>
      <w:hyperlink r:id="rId29">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will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After the statement of charges and notice of hearing, all pleadings and motions in a contested case proceeding shall be filed with the board. All documents that are required to be filed with the board shall be appropriately served upon all parties.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 xml:space="preserve">Except where otherwise provided by law, a document is deemed filed at the time it is delivered to the board office at 6200 Park Avenue, Suite 100, Des Moines, Iowa 50321; delivered to an established courier service for immediate delivery to that office; mailed by first-class mail or state interoffice mail to that office, so long as there is proof of mailing; or filed electronically through AEDMS in accordance with </w:t>
      </w:r>
      <w:hyperlink r:id="rId30">
        <w:r>
          <w:rPr>
            <w:rStyle w:val="Hyperlink"/>
            <w:rFonts w:ascii="Times New Roman" w:hAnsi="Times New Roman"/>
            <w:b w:val="false"/>
            <w:i w:val="false"/>
            <w:color w:val="000000"/>
            <w:sz w:val="22"/>
          </w:rPr>
          <w:t>481—Chapter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506.13(5)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96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0"/>
              </w:rPr>
              <w:t>I certify under penalty of perjury and pursuant to the laws of Iowa that, on (date of mailing), I mailed copies of (describe document) addressed to the ______ Board, and to the names and addresses of the parties listed below by depositing the same in (a United States Post Office mailbox with correct postage properly affixed or state interoffice mail).</w:t>
            </w:r>
          </w:p>
        </w:tc>
      </w:tr>
      <w:tr>
        <w:trPr>
          <w:trHeight w:val="25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481—506.14</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506.14(1)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with the exception of the mandatory disclosure and discovery conference requirements in Iowa Rules of Civil Procedure 1.500 and 1.507. Unless lengthened or shortened by these rules, by order of the presiding officer, or by agreement of the parties, time periods for compliance with discovery will be as provided in the Iowa Rules of Civil Procedure. Discovery will be served on all parties to the contested case proceeding but not be filed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506.14(2)</w:t>
      </w:r>
      <w:r>
        <w:rPr>
          <w:rFonts w:ascii="Times New Roman" w:hAnsi="Times New Roman"/>
          <w:b w:val="false"/>
          <w:i w:val="false"/>
          <w:color w:val="000000"/>
          <w:sz w:val="22"/>
        </w:rPr>
        <w:t> </w:t>
      </w:r>
      <w:r>
        <w:rPr>
          <w:rFonts w:ascii="Times New Roman" w:hAnsi="Times New Roman"/>
          <w:b w:val="false"/>
          <w:i w:val="false"/>
          <w:color w:val="000000"/>
          <w:sz w:val="22"/>
        </w:rPr>
        <w:t>Any motion relating to discovery shall allege that the moving party has previously made a good-faith attempt to resolve the discovery issues involved with the opposing party. Motions in regard to discovery will be ruled upon by the presiding officer. Opposing parties will be afforded the opportunity to respond within ten days of the filing of the motion unless the time is shortened as provided by rule.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506.14(3)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board’s investigative file is available to the respondent or applicant upon request only after the commencement of a contested case and prior to the resolution of the contested case. A licensee who elects to enter into a combined statement of charges and settlement agreement is not entitled to request the investigative file. In accordance with Iowa Code section </w:t>
      </w:r>
      <w:hyperlink r:id="rId31">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information contained within an investigative file is confidential and may only be used in connection with the disciplinary proceedings.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481—506.15</w:t>
      </w:r>
      <w:r>
        <w:rPr>
          <w:rFonts w:ascii="Times New Roman" w:hAnsi="Times New Roman"/>
          <w:b/>
          <w:i w:val="false"/>
          <w:color w:val="000000"/>
          <w:sz w:val="22"/>
        </w:rPr>
        <w:t xml:space="preserve">(17A,272C) </w:t>
      </w:r>
      <w:r>
        <w:rPr>
          <w:rFonts w:ascii="Times New Roman" w:hAnsi="Times New Roman"/>
          <w:b/>
          <w:i w:val="false"/>
          <w:color w:val="000000"/>
          <w:sz w:val="22"/>
        </w:rPr>
        <w:t xml:space="preserve">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506.15(1)</w:t>
      </w:r>
      <w:r>
        <w:rPr>
          <w:rFonts w:ascii="Times New Roman" w:hAnsi="Times New Roman"/>
          <w:b w:val="false"/>
          <w:i w:val="false"/>
          <w:color w:val="000000"/>
          <w:sz w:val="22"/>
        </w:rPr>
        <w:t> </w:t>
      </w:r>
      <w:r>
        <w:rPr>
          <w:rFonts w:ascii="Times New Roman" w:hAnsi="Times New Roman"/>
          <w:b w:val="false"/>
          <w:i w:val="false"/>
          <w:color w:val="000000"/>
          <w:sz w:val="22"/>
        </w:rPr>
        <w:t xml:space="preserve">Subpoenas issued in a contested case may compel the attendance of witnesses at depositions or hearings and may compel the production of books, papers, records, and other real evidence. A command to produce evidence or to permit inspection may be joined with a command to appear at a deposition or hearing, or may be issued separately. Subpoenas shall be issued by the board administrator or designee upon written request. A request for a subpoena of mental health records must confirm the conditions described in </w:t>
      </w:r>
      <w:hyperlink r:id="rId32">
        <w:r>
          <w:rPr>
            <w:rStyle w:val="Hyperlink"/>
            <w:rFonts w:ascii="Times New Roman" w:hAnsi="Times New Roman"/>
            <w:b w:val="false"/>
            <w:i w:val="false"/>
            <w:color w:val="000000"/>
            <w:sz w:val="22"/>
          </w:rPr>
          <w:t>481—subrule 503.5(1)</w:t>
        </w:r>
      </w:hyperlink>
      <w:r>
        <w:rPr>
          <w:rFonts w:ascii="Times New Roman" w:hAnsi="Times New Roman"/>
          <w:b w:val="false"/>
          <w:i w:val="false"/>
          <w:color w:val="000000"/>
          <w:sz w:val="22"/>
        </w:rPr>
        <w:t xml:space="preserve">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 unless the subpoena is requested to compel testimony or documents for rebuttal or impeachment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w:t>
      </w:r>
      <w:hyperlink r:id="rId33">
        <w:r>
          <w:rPr>
            <w:rStyle w:val="Hyperlink"/>
            <w:rFonts w:ascii="Times New Roman" w:hAnsi="Times New Roman"/>
            <w:b w:val="false"/>
            <w:i w:val="false"/>
            <w:color w:val="000000"/>
            <w:sz w:val="22"/>
          </w:rPr>
          <w:t>481—subrule 503.5(1)</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506.15(3)</w:t>
      </w:r>
      <w:r>
        <w:rPr>
          <w:rFonts w:ascii="Times New Roman" w:hAnsi="Times New Roman"/>
          <w:b w:val="false"/>
          <w:i w:val="false"/>
          <w:color w:val="000000"/>
          <w:sz w:val="22"/>
        </w:rPr>
        <w:t> </w:t>
      </w:r>
      <w:r>
        <w:rPr>
          <w:rFonts w:ascii="Times New Roman" w:hAnsi="Times New Roman"/>
          <w:b w:val="false"/>
          <w:i w:val="false"/>
          <w:color w:val="000000"/>
          <w:sz w:val="22"/>
        </w:rPr>
        <w:t>Each subpoena will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board administrator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506.15(4)</w:t>
      </w:r>
      <w:r>
        <w:rPr>
          <w:rFonts w:ascii="Times New Roman" w:hAnsi="Times New Roman"/>
          <w:b w:val="false"/>
          <w:i w:val="false"/>
          <w:color w:val="000000"/>
          <w:sz w:val="22"/>
        </w:rPr>
        <w:t> </w:t>
      </w:r>
      <w:r>
        <w:rPr>
          <w:rFonts w:ascii="Times New Roman" w:hAnsi="Times New Roman"/>
          <w:b w:val="false"/>
          <w:i w:val="false"/>
          <w:color w:val="000000"/>
          <w:sz w:val="22"/>
        </w:rPr>
        <w:t>Unless a subpoena is requested to compel testimony or documents for rebuttal or impeachment purposes, the board administrator or designee will email the subpoena to the requesting party, with a copy to the opposing party.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file with the board a motion to quash or modify the subpoena describing the legal reasons why the subpoena should be quashed or modified before the earlier of the date specified for compliance or 14 days after the subpoena is served. The motion may be accompanied by legal briefs or factual affidavits. However, if a subpoena solely requests the production of books, papers, records, or other real evidence and does not also seek to compel testimony, the person who is aggrieved or adversely affected by compliance with the subpoena may alternatively serve written objection on the requesting party before the earlier of the date specified for compliance or 14 days after the subpoena is served. The serving party may then file a motion asking the presiding officer to issue an order compelling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may request an administrative law judge to issue a decision, or the board may issue a decision. Oral argument may be scheduled at the discretion of the board or the administrative law judge.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506.15(7)</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board administrator, either in person, by email,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506.15(8)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a party to the contested case, the board’s decision is final for purposes of judicial review. If the person contesting the subpoena is a party to the contested case, the board’s decision is not final for purposes of judicial review until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481—506.16</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506.16(1)</w:t>
      </w:r>
      <w:r>
        <w:rPr>
          <w:rFonts w:ascii="Times New Roman" w:hAnsi="Times New Roman"/>
          <w:b w:val="false"/>
          <w:i w:val="false"/>
          <w:color w:val="000000"/>
          <w:sz w:val="22"/>
        </w:rPr>
        <w:t> </w:t>
      </w:r>
      <w:r>
        <w:rPr>
          <w:rFonts w:ascii="Times New Roman" w:hAnsi="Times New Roman"/>
          <w:b w:val="false"/>
          <w:i w:val="false"/>
          <w:color w:val="000000"/>
          <w:sz w:val="22"/>
        </w:rPr>
        <w:t>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must be filed and served at least ten days prior to the date of hearing unless there is good cause for permitting later action or the time for such action is lengthened or shortened by rule of the agency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506.16(5)</w:t>
      </w:r>
      <w:r>
        <w:rPr>
          <w:rFonts w:ascii="Times New Roman" w:hAnsi="Times New Roman"/>
          <w:b w:val="false"/>
          <w:i w:val="false"/>
          <w:color w:val="000000"/>
          <w:sz w:val="22"/>
        </w:rPr>
        <w:t> </w:t>
      </w:r>
      <w:r>
        <w:rPr>
          <w:rFonts w:ascii="Times New Roman" w:hAnsi="Times New Roman"/>
          <w:b w:val="false"/>
          <w:i w:val="false"/>
          <w:color w:val="000000"/>
          <w:sz w:val="22"/>
        </w:rPr>
        <w:t xml:space="preserve">Dispositive motions, such as motions for summary judgment or motions to dismiss, must be filed and served on all parties at least 30 days prior to the scheduled hearing date unless otherwise ordered or permitted by the presiding officer.  Any party may file a written response to a dispositive motion within ten days after the motion is served unless the time for response is otherwise lengthened or shortened by the presiding officer.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481—506.17</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506.17(1)</w:t>
      </w:r>
      <w:r>
        <w:rPr>
          <w:rFonts w:ascii="Times New Roman" w:hAnsi="Times New Roman"/>
          <w:b w:val="false"/>
          <w:i w:val="false"/>
          <w:color w:val="000000"/>
          <w:sz w:val="22"/>
        </w:rPr>
        <w:t> </w:t>
      </w:r>
      <w:r>
        <w:rPr>
          <w:rFonts w:ascii="Times New Roman" w:hAnsi="Times New Roman"/>
          <w:b w:val="false"/>
          <w:i w:val="false"/>
          <w:color w:val="000000"/>
          <w:sz w:val="22"/>
        </w:rPr>
        <w:t>A prehearing conference may be ordered by the presiding officer, and any party may request a prehearing conference. Prehearing conferences will be conducted by an administrative law judge. A written request for prehearing conference or an order for prehearing conference on the board administrator’s own motion will be filed prior to the contested case hearing, but no later than 20 days prior to the hearing date. Written notice of the prehearing conference will be given by the board administrator to all parties. For good cause the board administrator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506.17(2)</w:t>
      </w:r>
      <w:r>
        <w:rPr>
          <w:rFonts w:ascii="Times New Roman" w:hAnsi="Times New Roman"/>
          <w:b w:val="false"/>
          <w:i w:val="false"/>
          <w:color w:val="000000"/>
          <w:sz w:val="22"/>
        </w:rPr>
        <w:t> </w:t>
      </w:r>
      <w:r>
        <w:rPr>
          <w:rFonts w:ascii="Times New Roman" w:hAnsi="Times New Roman"/>
          <w:b w:val="false"/>
          <w:i w:val="false"/>
          <w:color w:val="000000"/>
          <w:sz w:val="22"/>
        </w:rPr>
        <w:t>The parties at a prehearing conference shall be prepared to discuss the following subjects, and the administrative law judge may issue appropriate orders concerning: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possibility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entry of a scheduling order to include deadlines for completion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Submission of expert and other witness lists. Witness lists may be amended subsequent to the prehearing conference within the time limits established by the administrative law judge at the prehearing conference. Any such amendments must be served on all parties. Witnesses not listed on the final witness list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Submission of exhibit lists. Exhibit lists may be amended subsequent to the prehearing conference within the time limits established by the administrative law judge at the prehearing conference. Exhibits other than rebuttal exhibits that are not listed on the final exhibit list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Stipulations of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Consideration of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506.17(3)</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may be conducted by telephone unless otherwise ordered.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481—506.18</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506.18(1)</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an application for continuance shall be filed with the board at least seven days before the date scheduled for hearing.  If the application for continuance is not contested, the board administrator or designee may issue an order or delegate the matter to an administrative law judge. If the application for continuance is contested, the matter will be heard by the board or may be delegated by the board to an administrative law judge.  No continuance shall be granted within seven days of the date of hearing except for extraordinary, extenuating or emergency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506.18(2)</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working days before the hearing, except in cases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506.18(3)</w:t>
      </w:r>
      <w:r>
        <w:rPr>
          <w:rFonts w:ascii="Times New Roman" w:hAnsi="Times New Roman"/>
          <w:b w:val="false"/>
          <w:i w:val="false"/>
          <w:color w:val="000000"/>
          <w:sz w:val="22"/>
        </w:rPr>
        <w:t> </w:t>
      </w:r>
      <w:r>
        <w:rPr>
          <w:rFonts w:ascii="Times New Roman" w:hAnsi="Times New Roman"/>
          <w:b w:val="false"/>
          <w:i w:val="false"/>
          <w:color w:val="000000"/>
          <w:sz w:val="22"/>
        </w:rPr>
        <w:t xml:space="preserve">An oral application for continuance may be made if the board or the presiding officer waives the requirement for a written motion.  No application for continuance shall be made or granted without notice to all parties, except in an emergency where notice is not feasible.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506.18(4)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require documentation of any grounds for continuance. 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481—506.19</w:t>
      </w:r>
      <w:r>
        <w:rPr>
          <w:rFonts w:ascii="Times New Roman" w:hAnsi="Times New Roman"/>
          <w:b/>
          <w:i w:val="false"/>
          <w:color w:val="000000"/>
          <w:sz w:val="22"/>
        </w:rPr>
        <w:t xml:space="preserve">(17A,272C)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506.19(1)</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are conducted before a quorum of the board or an administrative law judge.  With respect to contested cases before the board of medicine, if an insufficient number of board members are available to hear a contested case, the executive director, or designee, may request alternate members as defined in rule </w:t>
      </w:r>
      <w:hyperlink r:id="rId34">
        <w:r>
          <w:rPr>
            <w:rStyle w:val="Hyperlink"/>
            <w:rFonts w:ascii="Times New Roman" w:hAnsi="Times New Roman"/>
            <w:b w:val="false"/>
            <w:i w:val="false"/>
            <w:color w:val="000000"/>
            <w:sz w:val="22"/>
          </w:rPr>
          <w:t>653—1.1</w:t>
        </w:r>
      </w:hyperlink>
      <w:r>
        <w:rPr>
          <w:rFonts w:ascii="Times New Roman" w:hAnsi="Times New Roman"/>
          <w:b w:val="false"/>
          <w:i w:val="false"/>
          <w:color w:val="000000"/>
          <w:sz w:val="22"/>
        </w:rPr>
        <w:t xml:space="preserve">(17A,147) and Iowa Code sections </w:t>
      </w:r>
      <w:hyperlink r:id="rId35">
        <w:r>
          <w:rPr>
            <w:rStyle w:val="Hyperlink"/>
            <w:rFonts w:ascii="Times New Roman" w:hAnsi="Times New Roman"/>
            <w:b w:val="false"/>
            <w:i w:val="false"/>
            <w:color w:val="000000"/>
            <w:sz w:val="22"/>
          </w:rPr>
          <w:t>148.2A</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148.7(4)</w:t>
        </w:r>
      </w:hyperlink>
      <w:r>
        <w:rPr>
          <w:rFonts w:ascii="Times New Roman" w:hAnsi="Times New Roman"/>
          <w:b w:val="false"/>
          <w:i w:val="false"/>
          <w:color w:val="000000"/>
          <w:sz w:val="22"/>
        </w:rPr>
        <w:t xml:space="preserve"> to serve on the hearing panel.  A hearing panel must include at least six members, at least half of whom must be current board members and at least half of whom must be licensed to practice medicine under Iowa Code chapter </w:t>
      </w:r>
      <w:hyperlink r:id="rId3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506.19(2)</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the authority to administer oaths, to admit or exclude testimony or other evidence, and to rule on all motions and objections. The board may request that an administrative law judge perform any of these functions and may be assisted and advised by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506.19(3)</w:t>
      </w:r>
      <w:r>
        <w:rPr>
          <w:rFonts w:ascii="Times New Roman" w:hAnsi="Times New Roman"/>
          <w:b w:val="false"/>
          <w:i w:val="false"/>
          <w:color w:val="000000"/>
          <w:sz w:val="22"/>
        </w:rPr>
        <w:t> </w:t>
      </w:r>
      <w:r>
        <w:rPr>
          <w:rFonts w:ascii="Times New Roman" w:hAnsi="Times New Roman"/>
          <w:b w:val="false"/>
          <w:i w:val="false"/>
          <w:color w:val="000000"/>
          <w:sz w:val="22"/>
        </w:rPr>
        <w:t>All objections will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506.19(4)</w:t>
      </w:r>
      <w:r>
        <w:rPr>
          <w:rFonts w:ascii="Times New Roman" w:hAnsi="Times New Roman"/>
          <w:b w:val="false"/>
          <w:i w:val="false"/>
          <w:color w:val="000000"/>
          <w:sz w:val="22"/>
        </w:rPr>
        <w:t> </w:t>
      </w:r>
      <w:r>
        <w:rPr>
          <w:rFonts w:ascii="Times New Roman" w:hAnsi="Times New Roman"/>
          <w:b w:val="false"/>
          <w:i w:val="false"/>
          <w:color w:val="000000"/>
          <w:sz w:val="22"/>
        </w:rPr>
        <w:t xml:space="preserve">Parties have the right to participate or to be represented in all hearings or prehearing conferences related to their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506.19(5)</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  Subject to terms and conditions prescribed by the presiding officer, parties may present the testimony of witnesses by affidavit, by written or video deposition, in person, by telephone, or by videoconference.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506.19(6)</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maintains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506.19(7)</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has the authority to grant immunity from disciplinary action to a witness as provided by Iowa Code section </w:t>
      </w:r>
      <w:hyperlink r:id="rId38">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506.19(9)</w:t>
      </w:r>
      <w:r>
        <w:rPr>
          <w:rFonts w:ascii="Times New Roman" w:hAnsi="Times New Roman"/>
          <w:b w:val="false"/>
          <w:i w:val="false"/>
          <w:color w:val="000000"/>
          <w:sz w:val="22"/>
        </w:rPr>
        <w:t> </w:t>
      </w:r>
      <w:r>
        <w:rPr>
          <w:rFonts w:ascii="Times New Roman" w:hAnsi="Times New Roman"/>
          <w:b w:val="false"/>
          <w:i w:val="false"/>
          <w:color w:val="000000"/>
          <w:sz w:val="22"/>
        </w:rPr>
        <w:t>The presiding officer conducts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gives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are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is sworn or affirmed by the presiding officer or the court reporter and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the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506.19(10)</w:t>
      </w:r>
      <w:r>
        <w:rPr>
          <w:rFonts w:ascii="Times New Roman" w:hAnsi="Times New Roman"/>
          <w:b w:val="false"/>
          <w:i w:val="false"/>
          <w:color w:val="000000"/>
          <w:sz w:val="22"/>
        </w:rPr>
        <w:t> </w:t>
      </w:r>
      <w:r>
        <w:rPr>
          <w:rFonts w:ascii="Times New Roman" w:hAnsi="Times New Roman"/>
          <w:b w:val="false"/>
          <w:i w:val="false"/>
          <w:color w:val="000000"/>
          <w:sz w:val="22"/>
        </w:rPr>
        <w:t>The board members and the administrative law judge have the right to question a witness. Examination of witnesses is subject to properly raised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506.19(11)</w:t>
      </w:r>
      <w:r>
        <w:rPr>
          <w:rFonts w:ascii="Times New Roman" w:hAnsi="Times New Roman"/>
          <w:b w:val="false"/>
          <w:i w:val="false"/>
          <w:color w:val="000000"/>
          <w:sz w:val="22"/>
        </w:rPr>
        <w:t> </w:t>
      </w:r>
      <w:r>
        <w:rPr>
          <w:rFonts w:ascii="Times New Roman" w:hAnsi="Times New Roman"/>
          <w:b w:val="false"/>
          <w:i w:val="false"/>
          <w:color w:val="000000"/>
          <w:sz w:val="22"/>
        </w:rPr>
        <w:t>The hearing will be open to the public unless the licensee requests that the hearing be closed.  At the request of either party, or on the board’s own motion, the presiding officer may issue a protective order to protect documents that are privileged or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506.19(12)</w:t>
      </w:r>
      <w:r>
        <w:rPr>
          <w:rFonts w:ascii="Times New Roman" w:hAnsi="Times New Roman"/>
          <w:b w:val="false"/>
          <w:i w:val="false"/>
          <w:color w:val="000000"/>
          <w:sz w:val="22"/>
        </w:rPr>
        <w:t> </w:t>
      </w:r>
      <w:r>
        <w:rPr>
          <w:rFonts w:ascii="Times New Roman" w:hAnsi="Times New Roman"/>
          <w:b w:val="false"/>
          <w:i w:val="false"/>
          <w:color w:val="000000"/>
          <w:sz w:val="22"/>
        </w:rPr>
        <w:t xml:space="preserve">Contested case hearings shall be recorded by electronic means or by a certified shorthand reporter. A party may request that a hearing be recorded by a certified shorthand reporter instead of through electronic means by filing a request with the board at least 14 days in advance of the hearing. Parties who request that a hearing be recorded by a certified shorthand reporter rather than by electronic means shall bear the cost of the certified shorthand reporter. Upon request, the board shall provide a copy of the whole or any portion of the record costs. The cost of preparing a copy of the record or of transcribing the hearing record shall be paid by the requesting party. If the request for the hearing record is made as a result of a petition for judicial review, the party who filed the petition shall be considered the requesting party.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481—506.20</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rules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a party waives the party’s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will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will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506.20(7)</w:t>
      </w:r>
      <w:r>
        <w:rPr>
          <w:rFonts w:ascii="Times New Roman" w:hAnsi="Times New Roman"/>
          <w:b w:val="false"/>
          <w:i w:val="false"/>
          <w:color w:val="000000"/>
          <w:sz w:val="22"/>
        </w:rPr>
        <w:t> </w:t>
      </w:r>
      <w:r>
        <w:rPr>
          <w:rFonts w:ascii="Times New Roman" w:hAnsi="Times New Roman"/>
          <w:b w:val="false"/>
          <w:i w:val="false"/>
          <w:color w:val="000000"/>
          <w:sz w:val="22"/>
        </w:rPr>
        <w:t>Irrelevant, immaterial and unduly repetitious evidence should be excluded. A finding will be based upon the kind of evidence upon which reasonably prudent persons are accustomed to rely for the conduct of their serious affairs and may be based on hearsay or other types of evidence that may or would be inadmissible in a jury trial.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481—506.21</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506.21(3)</w:t>
      </w:r>
      <w:r>
        <w:rPr>
          <w:rFonts w:ascii="Times New Roman" w:hAnsi="Times New Roman"/>
          <w:b w:val="false"/>
          <w:i w:val="false"/>
          <w:color w:val="000000"/>
          <w:sz w:val="22"/>
        </w:rPr>
        <w:t> </w:t>
      </w:r>
      <w:r>
        <w:rPr>
          <w:rFonts w:ascii="Times New Roman" w:hAnsi="Times New Roman"/>
          <w:b w:val="false"/>
          <w:i w:val="false"/>
          <w:color w:val="000000"/>
          <w:sz w:val="22"/>
        </w:rPr>
        <w:t>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A motion to vacate must state all facts relied upon by the moving party that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will be granted only for good cause shown. The burden of proof as to good cause is on the moving party. Adverse parties will have ten days to respond to a motion to vacate. Adverse parties will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39">
        <w:r>
          <w:rPr>
            <w:rStyle w:val="Hyperlink"/>
            <w:rFonts w:ascii="Times New Roman" w:hAnsi="Times New Roman"/>
            <w:b w:val="false"/>
            <w:i w:val="false"/>
            <w:color w:val="000000"/>
            <w:sz w:val="22"/>
          </w:rPr>
          <w:t>481—506.24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will issue another notice of hearing and statement of charges and the contested case will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506.21(9)</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40">
        <w:r>
          <w:rPr>
            <w:rStyle w:val="Hyperlink"/>
            <w:rFonts w:ascii="Times New Roman" w:hAnsi="Times New Roman"/>
            <w:b w:val="false"/>
            <w:i w:val="false"/>
            <w:color w:val="000000"/>
            <w:sz w:val="22"/>
          </w:rPr>
          <w:t>481—506.26</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481—506.22</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506.22(1)</w:t>
      </w:r>
      <w:r>
        <w:rPr>
          <w:rFonts w:ascii="Times New Roman" w:hAnsi="Times New Roman"/>
          <w:b w:val="false"/>
          <w:i w:val="false"/>
          <w:color w:val="000000"/>
          <w:sz w:val="22"/>
        </w:rPr>
        <w:t> </w:t>
      </w:r>
      <w:r>
        <w:rPr>
          <w:rFonts w:ascii="Times New Roman" w:hAnsi="Times New Roman"/>
          <w:b w:val="false"/>
          <w:i w:val="false"/>
          <w:color w:val="000000"/>
          <w:sz w:val="22"/>
        </w:rPr>
        <w:t>Unless required for the disposition of ex parte matters specifically authorized by statute, following issuance of the statement of charges and notice of hearing, there will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Nothing in this provision is intended to preclude board members from communicating with other board members or members of the board staff, other than those with a personal interest in, or those engaged in personally investigating,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statement of charges and notice of hearing in a contested case and continue for as long as the case is pending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will be provided in compliance with rule </w:t>
      </w:r>
      <w:hyperlink r:id="rId41">
        <w:r>
          <w:rPr>
            <w:rStyle w:val="Hyperlink"/>
            <w:rFonts w:ascii="Times New Roman" w:hAnsi="Times New Roman"/>
            <w:b w:val="false"/>
            <w:i w:val="false"/>
            <w:color w:val="000000"/>
            <w:sz w:val="22"/>
          </w:rPr>
          <w:t>481—506.6</w:t>
        </w:r>
      </w:hyperlink>
      <w:r>
        <w:rPr>
          <w:rFonts w:ascii="Times New Roman" w:hAnsi="Times New Roman"/>
          <w:b w:val="false"/>
          <w:i w:val="false"/>
          <w:color w:val="000000"/>
          <w:sz w:val="22"/>
        </w:rPr>
        <w:t>(17A)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506.22(6)</w:t>
      </w:r>
      <w:r>
        <w:rPr>
          <w:rFonts w:ascii="Times New Roman" w:hAnsi="Times New Roman"/>
          <w:b w:val="false"/>
          <w:i w:val="false"/>
          <w:color w:val="000000"/>
          <w:sz w:val="22"/>
        </w:rPr>
        <w:t> </w:t>
      </w:r>
      <w:r>
        <w:rPr>
          <w:rFonts w:ascii="Times New Roman" w:hAnsi="Times New Roman"/>
          <w:b w:val="false"/>
          <w:i w:val="false"/>
          <w:color w:val="000000"/>
          <w:sz w:val="22"/>
        </w:rPr>
        <w:t>The board administrator or other persons may be present in deliberations or otherwise advise the presiding officer without notice or opportunity for parties to participate as long as they are not disqualified from participating in the making of a final decision under any provision of law and they comply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506.22(7)</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will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506.22(8)</w:t>
      </w:r>
      <w:r>
        <w:rPr>
          <w:rFonts w:ascii="Times New Roman" w:hAnsi="Times New Roman"/>
          <w:b w:val="false"/>
          <w:i w:val="false"/>
          <w:color w:val="000000"/>
          <w:sz w:val="22"/>
        </w:rPr>
        <w:t> </w:t>
      </w:r>
      <w:r>
        <w:rPr>
          <w:rFonts w:ascii="Times New Roman" w:hAnsi="Times New Roman"/>
          <w:b w:val="false"/>
          <w:i w:val="false"/>
          <w:color w:val="000000"/>
          <w:sz w:val="22"/>
        </w:rPr>
        <w:t>A presiding officer who receives a prohibited ex parte communication during the pendency of a contested case must initially determine if the effect of the communication is so prejudicial that the presiding officer should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will be submitted for inclusion in the record under seal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not warranted, such documents will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42">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506.22(10)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suspension or revocation of the privilege to practice before the agency. Violation of ex parte communication prohibitions by board personnel will be reported to the board and its board administrator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481—506.23</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board will provide a copy of the whole or any portion of the record at cost. The cost of preparing a copy of the record or of transcribing the hearing record is paid by the requesting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481—506.24</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board administrator or an administrative law judge. Any request for interlocutory review must be filed within 14 days of issuance of the challenged order, but no later than the time for compliance with the order or the date of hearing, whichever is first. In determining whether to review an interlocutory order, the board will consider: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506.24(1)</w:t>
      </w:r>
      <w:r>
        <w:rPr>
          <w:rFonts w:ascii="Times New Roman" w:hAnsi="Times New Roman"/>
          <w:b w:val="false"/>
          <w:i w:val="false"/>
          <w:color w:val="000000"/>
          <w:sz w:val="22"/>
        </w:rPr>
        <w:t> </w:t>
      </w:r>
      <w:r>
        <w:rPr>
          <w:rFonts w:ascii="Times New Roman" w:hAnsi="Times New Roman"/>
          <w:b w:val="false"/>
          <w:i w:val="false"/>
          <w:color w:val="000000"/>
          <w:sz w:val="22"/>
        </w:rPr>
        <w:t>The extent to which granting the interlocutory appeal would expedite final resolution of the case;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506.24(2)</w:t>
      </w:r>
      <w:r>
        <w:rPr>
          <w:rFonts w:ascii="Times New Roman" w:hAnsi="Times New Roman"/>
          <w:b w:val="false"/>
          <w:i w:val="false"/>
          <w:color w:val="000000"/>
          <w:sz w:val="22"/>
        </w:rPr>
        <w:t> </w:t>
      </w:r>
      <w:r>
        <w:rPr>
          <w:rFonts w:ascii="Times New Roman" w:hAnsi="Times New Roman"/>
          <w:b w:val="false"/>
          <w:i w:val="false"/>
          <w:color w:val="000000"/>
          <w:sz w:val="22"/>
        </w:rPr>
        <w:t>The extent to which review of that interlocutory order by the board at the time it reviews the proposed decision of the presiding officer would provide an adequate remedy.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481—506.25</w:t>
      </w:r>
      <w:r>
        <w:rPr>
          <w:rFonts w:ascii="Times New Roman" w:hAnsi="Times New Roman"/>
          <w:b/>
          <w:i w:val="false"/>
          <w:color w:val="000000"/>
          <w:sz w:val="22"/>
        </w:rPr>
        <w:t xml:space="preserve">(17A)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506.25(1)</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quorum of the board presides over the reception of the evidence at the hearing, its decision is a final decision.  A final decision of the board is an open record.  Final decisions shall be served on the parties in accordance with rule </w:t>
      </w:r>
      <w:hyperlink r:id="rId43">
        <w:r>
          <w:rPr>
            <w:rStyle w:val="Hyperlink"/>
            <w:rFonts w:ascii="Times New Roman" w:hAnsi="Times New Roman"/>
            <w:b w:val="false"/>
            <w:i w:val="false"/>
            <w:color w:val="000000"/>
            <w:sz w:val="22"/>
          </w:rPr>
          <w:t>481—506.13</w:t>
        </w:r>
      </w:hyperlink>
      <w:r>
        <w:rPr>
          <w:rFonts w:ascii="Times New Roman" w:hAnsi="Times New Roman"/>
          <w:b w:val="false"/>
          <w:i w:val="false"/>
          <w:color w:val="000000"/>
          <w:sz w:val="22"/>
        </w:rPr>
        <w:t xml:space="preserve">(17A).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of a hearing panel of the board of medicine containing alternate members is considered a final decision of the board in accordance with Iowa Code section </w:t>
      </w:r>
      <w:hyperlink r:id="rId44">
        <w:r>
          <w:rPr>
            <w:rStyle w:val="Hyperlink"/>
            <w:rFonts w:ascii="Times New Roman" w:hAnsi="Times New Roman"/>
            <w:b w:val="false"/>
            <w:i w:val="false"/>
            <w:color w:val="000000"/>
            <w:sz w:val="22"/>
          </w:rPr>
          <w:t>148.2A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506.25(2)</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Panel of specialists for board of medicine. </w:t>
      </w:r>
      <w:r>
        <w:rPr>
          <w:rFonts w:ascii="Times New Roman" w:hAnsi="Times New Roman"/>
          <w:b w:val="false"/>
          <w:i w:val="false"/>
          <w:color w:val="000000"/>
          <w:sz w:val="22"/>
        </w:rPr>
        <w:t xml:space="preserve">When a panel of three specialists for the board of medicine presides over the hearing, the panel shall issue a proposed decision that includes findings of fact but does not include conclusions of law.  A proposed decision of a panel of specialists, together with a transcript of the proceedings and the exhibits presented, shall be reviewed by the board within 30 days of the date of the proposed decision was issued and a final decision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Panel of board members or administrative law judge. </w:t>
      </w:r>
      <w:r>
        <w:rPr>
          <w:rFonts w:ascii="Times New Roman" w:hAnsi="Times New Roman"/>
          <w:b w:val="false"/>
          <w:i w:val="false"/>
          <w:color w:val="000000"/>
          <w:sz w:val="22"/>
        </w:rPr>
        <w:t xml:space="preserve">When a panel of three or more board members or an administrative law judge presides over the hearing, the panel or administrative law judge shall issue a proposed decision that includes proposed findings of fact, conclusions of law, and an order.  A proposed decision shall be reviewed by the board within 30 days of the date of the proposed decision was issued.  A proposed decision becomes a final decision without further proceedings unless appealed in accordance with paragraph </w:t>
      </w:r>
      <w:hyperlink r:id="rId45">
        <w:r>
          <w:rPr>
            <w:rStyle w:val="Hyperlink"/>
            <w:rFonts w:ascii="Times New Roman" w:hAnsi="Times New Roman"/>
            <w:b w:val="false"/>
            <w:i w:val="false"/>
            <w:color w:val="000000"/>
            <w:sz w:val="22"/>
          </w:rPr>
          <w:t>506.25(2)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of proposed decisions. </w:t>
      </w:r>
      <w:r>
        <w:rPr>
          <w:rFonts w:ascii="Times New Roman" w:hAnsi="Times New Roman"/>
          <w:b w:val="false"/>
          <w:i w:val="false"/>
          <w:color w:val="000000"/>
          <w:sz w:val="22"/>
        </w:rPr>
        <w:t xml:space="preserve">A proposed decision pursuant to paragraph </w:t>
      </w:r>
      <w:hyperlink r:id="rId46">
        <w:r>
          <w:rPr>
            <w:rStyle w:val="Hyperlink"/>
            <w:rFonts w:ascii="Times New Roman" w:hAnsi="Times New Roman"/>
            <w:b w:val="false"/>
            <w:i w:val="false"/>
            <w:color w:val="000000"/>
            <w:sz w:val="22"/>
          </w:rPr>
          <w:t>506.25(2)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may be appealed to the full board by either party by serving on the board administrator, either in person, by email or by certified mail, a written notice of appeal within three days after service of the proposed decision on the appealing party.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receipt of a notice of appeal, the board will enter an order establishing a schedule for further proceedings, which may include submission of briefs and oral argument.  The parties shall serve their briefs on the board and each party.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Oral argument may be heard by the board and may be waived by the parties.  The time granted each party for oral argument is established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 on appeal includes the entire record made before the presiding officer. Costs associated with the appeal shall be paid by the appealing party.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At no time prior to the release of the final decision by the board shall a proposed decision be made public or distributed to any person other than the parties.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after the issuance of a proposed decision only by establishing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evidence is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evidence arose after the completion of the original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Good cause exists for failure to present the evidence at the original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party has not waived the right to present additional evidence.</w:t>
      </w:r>
    </w:p>
    <w:p>
      <w:pPr>
        <w:spacing w:before="0" w:after="0"/>
        <w:ind w:left="120"/>
        <w:jc w:val="both"/>
      </w:pPr>
      <w:r>
        <w:rPr>
          <w:rFonts w:ascii="Times New Roman" w:hAnsi="Times New Roman"/>
          <w:b w:val="false"/>
          <w:i w:val="false"/>
          <w:color w:val="000000"/>
          <w:sz w:val="22"/>
        </w:rPr>
        <w:t>A written request to present additional evidence must be filed with the notice of appeal or by a nonappealing party within 14 days of service of the notice of appeal.  The board may remand a case to the hearing panel or administrative law judge for further hearing or may itself preside at the taking of additional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481—506.26</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506.26(1)</w:t>
      </w:r>
      <w:r>
        <w:rPr>
          <w:rFonts w:ascii="Times New Roman" w:hAnsi="Times New Roman"/>
          <w:b w:val="false"/>
          <w:i w:val="false"/>
          <w:color w:val="000000"/>
          <w:sz w:val="22"/>
        </w:rPr>
        <w:t> </w:t>
      </w:r>
      <w:r>
        <w:rPr>
          <w:rFonts w:ascii="Times New Roman" w:hAnsi="Times New Roman"/>
          <w:b w:val="false"/>
          <w:i/>
          <w:color w:val="000000"/>
          <w:sz w:val="22"/>
        </w:rPr>
        <w:t xml:space="preserve">Who may file. </w:t>
      </w:r>
      <w:r>
        <w:rPr>
          <w:rFonts w:ascii="Times New Roman" w:hAnsi="Times New Roman"/>
          <w:b w:val="false"/>
          <w:i w:val="false"/>
          <w:color w:val="000000"/>
          <w:sz w:val="22"/>
        </w:rPr>
        <w:t>Any party to a contested case proceeding may file an application for rehearing from a final order. The filing of an application for rehearing is not necessary to exhaust administrative remedies for purposes of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will state on whose behalf it is filed, the specific grounds for rehearing, and the relief sought. In addition, the application shall state whether the applicant desires reconsideration of all or part of the agency decision on the existing record and whether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506.26(3)</w:t>
      </w:r>
      <w:r>
        <w:rPr>
          <w:rFonts w:ascii="Times New Roman" w:hAnsi="Times New Roman"/>
          <w:b w:val="false"/>
          <w:i w:val="false"/>
          <w:color w:val="000000"/>
          <w:sz w:val="22"/>
        </w:rPr>
        <w:t> </w:t>
      </w:r>
      <w:r>
        <w:rPr>
          <w:rFonts w:ascii="Times New Roman" w:hAnsi="Times New Roman"/>
          <w:b w:val="false"/>
          <w:i/>
          <w:color w:val="000000"/>
          <w:sz w:val="22"/>
        </w:rPr>
        <w:t xml:space="preserve">Additional evidence. </w:t>
      </w:r>
      <w:r>
        <w:rPr>
          <w:rFonts w:ascii="Times New Roman" w:hAnsi="Times New Roman"/>
          <w:b w:val="false"/>
          <w:i w:val="false"/>
          <w:color w:val="000000"/>
          <w:sz w:val="22"/>
        </w:rPr>
        <w:t xml:space="preserve">A request that additional evidence be considered on rehearing is governed by paragraph </w:t>
      </w:r>
      <w:hyperlink r:id="rId47">
        <w:r>
          <w:rPr>
            <w:rStyle w:val="Hyperlink"/>
            <w:rFonts w:ascii="Times New Roman" w:hAnsi="Times New Roman"/>
            <w:b w:val="false"/>
            <w:i w:val="false"/>
            <w:color w:val="000000"/>
            <w:sz w:val="22"/>
          </w:rPr>
          <w:t>506.25(2)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506.26(4)</w:t>
      </w:r>
      <w:r>
        <w:rPr>
          <w:rFonts w:ascii="Times New Roman" w:hAnsi="Times New Roman"/>
          <w:b w:val="false"/>
          <w:i w:val="false"/>
          <w:color w:val="000000"/>
          <w:sz w:val="22"/>
        </w:rPr>
        <w:t> </w:t>
      </w:r>
      <w:r>
        <w:rPr>
          <w:rFonts w:ascii="Times New Roman" w:hAnsi="Times New Roman"/>
          <w:b w:val="false"/>
          <w:i/>
          <w:color w:val="000000"/>
          <w:sz w:val="22"/>
        </w:rPr>
        <w:t xml:space="preserve">Filing deadline.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506.26(5)</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506.26(6)</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is deemed denied unless the agency grants the application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506.26(7)</w:t>
      </w:r>
      <w:r>
        <w:rPr>
          <w:rFonts w:ascii="Times New Roman" w:hAnsi="Times New Roman"/>
          <w:b w:val="false"/>
          <w:i w:val="false"/>
          <w:color w:val="000000"/>
          <w:sz w:val="22"/>
        </w:rPr>
        <w:t> </w:t>
      </w:r>
      <w:r>
        <w:rPr>
          <w:rFonts w:ascii="Times New Roman" w:hAnsi="Times New Roman"/>
          <w:b w:val="false"/>
          <w:i/>
          <w:color w:val="000000"/>
          <w:sz w:val="22"/>
        </w:rPr>
        <w:t xml:space="preserve">Only remedy. </w:t>
      </w:r>
      <w:r>
        <w:rPr>
          <w:rFonts w:ascii="Times New Roman" w:hAnsi="Times New Roman"/>
          <w:b w:val="false"/>
          <w:i w:val="false"/>
          <w:color w:val="000000"/>
          <w:sz w:val="22"/>
        </w:rPr>
        <w:t>Application for rehearing is the only procedure by which a party may request that the board reconsider a final board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506.26(8)</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r>
        <w:rPr>
          <w:rFonts w:ascii="Times New Roman" w:hAnsi="Times New Roman"/>
          <w:b w:val="false"/>
          <w:i w:val="false"/>
          <w:color w:val="000000"/>
          <w:sz w:val="22"/>
        </w:rPr>
        <w:t>If the board grants an application for rehearing, the board may set the application for oral argument or for hearing if additional evidence will be received. If additional evidence will not be received, the board may issue a ruling without oral argument or hearing. The board may, on the request of a party or on its own motion, order or permit the parties to provide written argument on one or more designated issues. The board may be assisted by an administrative law judge in all proceedings related to an application for rehearing.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481—506.27</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506.27(1)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or pending judicial review. The petition shall state the reasons justifying a stay or other temporary remedy.  A party must petition the board for a stay pursuant to this rule prior to requesting a stay from the district court in a judicial review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506.27(2)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board will consider the factors listed in Iowa Code section </w:t>
      </w:r>
      <w:hyperlink r:id="rId48">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board will not grant a stay in any case in which the district court would be expressly prohibited by statute from granting a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506.27(3)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board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481—506.28</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481—506.29</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506.29(1)</w:t>
      </w:r>
      <w:r>
        <w:rPr>
          <w:rFonts w:ascii="Times New Roman" w:hAnsi="Times New Roman"/>
          <w:b w:val="false"/>
          <w:i w:val="false"/>
          <w:color w:val="000000"/>
          <w:sz w:val="22"/>
        </w:rPr>
        <w:t> </w:t>
      </w:r>
      <w:r>
        <w:rPr>
          <w:rFonts w:ascii="Times New Roman" w:hAnsi="Times New Roman"/>
          <w:b w:val="false"/>
          <w:i/>
          <w:color w:val="000000"/>
          <w:sz w:val="22"/>
        </w:rPr>
        <w:t xml:space="preserve">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board may issue a written order in compliance with Iowa Code section </w:t>
      </w:r>
      <w:hyperlink r:id="rId49">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board by emergency adjudicative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506.29(2)</w:t>
      </w:r>
      <w:r>
        <w:rPr>
          <w:rFonts w:ascii="Times New Roman" w:hAnsi="Times New Roman"/>
          <w:b w:val="false"/>
          <w:i w:val="false"/>
          <w:color w:val="000000"/>
          <w:sz w:val="22"/>
        </w:rPr>
        <w:t> </w:t>
      </w:r>
      <w:r>
        <w:rPr>
          <w:rFonts w:ascii="Times New Roman" w:hAnsi="Times New Roman"/>
          <w:b w:val="false"/>
          <w:i/>
          <w:color w:val="000000"/>
          <w:sz w:val="22"/>
        </w:rPr>
        <w:t xml:space="preserve">Factors for consideration. </w:t>
      </w:r>
      <w:r>
        <w:rPr>
          <w:rFonts w:ascii="Times New Roman" w:hAnsi="Times New Roman"/>
          <w:b w:val="false"/>
          <w:i w:val="false"/>
          <w:color w:val="000000"/>
          <w:sz w:val="22"/>
        </w:rPr>
        <w:t>Before issuing an emergency adjudicative order, the board will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board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board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506.29(3)</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contains findings of fact, conclusions of law, and policy reasons to justify the determination of an immediate danger in the board’s decision to take immediate action. The order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will be immediately served upon the person who is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Email to the last email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board will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506.29(4)</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 issued, the board will make reasonable immediate efforts to contact by telephone the person who is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506.29(5)</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board will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Issuance of a written emergency adjudicative order will include notification of the date on which board proceedings are scheduled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issuance of an emergency adjudicative order, continuance of further board proceedings to a later date will be granted only in compelling circumstances upon application in writing unless the person who is required to comply with the order is the party requesting the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481—506.30</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 </w:t>
      </w:r>
      <w:r>
        <w:rPr>
          <w:rFonts w:ascii="Times New Roman" w:hAnsi="Times New Roman"/>
          <w:b w:val="false"/>
          <w:i w:val="false"/>
          <w:color w:val="000000"/>
          <w:sz w:val="22"/>
        </w:rPr>
        <w:t xml:space="preserve">Any appeal to district court from a decision in a contested case will be taken within 30 days from the date of issuance of the decision by the board pursuant to Iowa Code section </w:t>
      </w:r>
      <w:hyperlink r:id="rId5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481—506.31</w:t>
      </w:r>
      <w:r>
        <w:rPr>
          <w:rFonts w:ascii="Times New Roman" w:hAnsi="Times New Roman"/>
          <w:b/>
          <w:i w:val="false"/>
          <w:color w:val="000000"/>
          <w:sz w:val="22"/>
        </w:rPr>
        <w:t xml:space="preserve">(272C) </w:t>
      </w:r>
      <w:r>
        <w:rPr>
          <w:rFonts w:ascii="Times New Roman" w:hAnsi="Times New Roman"/>
          <w:b/>
          <w:i w:val="false"/>
          <w:color w:val="000000"/>
          <w:sz w:val="22"/>
        </w:rPr>
        <w:t xml:space="preserve">Public record. </w:t>
      </w:r>
      <w:r>
        <w:rPr>
          <w:rFonts w:ascii="Times New Roman" w:hAnsi="Times New Roman"/>
          <w:b w:val="false"/>
          <w:i w:val="false"/>
          <w:color w:val="000000"/>
          <w:sz w:val="22"/>
        </w:rPr>
        <w:t>The final decision of the board in a contested case is a public record.  The board will report final decisions to the appropriate organizations, which may include but are not limited to the National Practitioner Data Bank and any media or other organizations that have filed a request for public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481—506.32</w:t>
      </w:r>
      <w:r>
        <w:rPr>
          <w:rFonts w:ascii="Times New Roman" w:hAnsi="Times New Roman"/>
          <w:b/>
          <w:i w:val="false"/>
          <w:color w:val="000000"/>
          <w:sz w:val="22"/>
        </w:rPr>
        <w:t xml:space="preserve">(272C)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506.32(1)</w:t>
      </w:r>
      <w:r>
        <w:rPr>
          <w:rFonts w:ascii="Times New Roman" w:hAnsi="Times New Roman"/>
          <w:b w:val="false"/>
          <w:i w:val="false"/>
          <w:color w:val="000000"/>
          <w:sz w:val="22"/>
        </w:rPr>
        <w:t> </w:t>
      </w:r>
      <w:r>
        <w:rPr>
          <w:rFonts w:ascii="Times New Roman" w:hAnsi="Times New Roman"/>
          <w:b w:val="false"/>
          <w:i w:val="false"/>
          <w:color w:val="000000"/>
          <w:sz w:val="22"/>
        </w:rPr>
        <w:t>Any person whose license to practice has been revoked or suspended may apply to the board for reinstatement in accordance with the terms and conditions of the order of revocation or suspension unless the order of revocation provides that the license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506.32(2)</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if the order of revocation or suspension did not establish terms and conditions upon which reinstatement might occur, or if the license was voluntarily surrendered, an initial application for reinstatement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506.32(3)</w:t>
      </w:r>
      <w:r>
        <w:rPr>
          <w:rFonts w:ascii="Times New Roman" w:hAnsi="Times New Roman"/>
          <w:b w:val="false"/>
          <w:i w:val="false"/>
          <w:color w:val="000000"/>
          <w:sz w:val="22"/>
        </w:rPr>
        <w:t> </w:t>
      </w:r>
      <w:r>
        <w:rPr>
          <w:rFonts w:ascii="Times New Roman" w:hAnsi="Times New Roman"/>
          <w:b w:val="false"/>
          <w:i w:val="false"/>
          <w:color w:val="000000"/>
          <w:sz w:val="22"/>
        </w:rPr>
        <w:t>All proceedings for reinstatement will be initiated by the respondent, who will file with the board an application for reinstatement of the license. Such application will be docketed in the original case in which the license was revoked, suspended, or relinquished. All proceedings upon the application for reinstatement will be subject to the same rules of procedure as other cases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506.32(4)</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will allege facts that, if established, will be sufficient to enable the board to determine that the basis for the revocation, suspension or voluntary surrender of the respondent’s license no longer exists and that it will be in the public interest for the license to be reinstated. The burden of proof to establish such facts is on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506.32(5)</w:t>
      </w:r>
      <w:r>
        <w:rPr>
          <w:rFonts w:ascii="Times New Roman" w:hAnsi="Times New Roman"/>
          <w:b w:val="false"/>
          <w:i w:val="false"/>
          <w:color w:val="000000"/>
          <w:sz w:val="22"/>
        </w:rPr>
        <w:t> </w:t>
      </w:r>
      <w:r>
        <w:rPr>
          <w:rFonts w:ascii="Times New Roman" w:hAnsi="Times New Roman"/>
          <w:b w:val="false"/>
          <w:i w:val="false"/>
          <w:color w:val="000000"/>
          <w:sz w:val="22"/>
        </w:rPr>
        <w:t>An order of reinstatement will be based upon a decision that incorporates findings of facts and conclusions of law. The order will be published as provided for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481—506.33</w:t>
      </w:r>
      <w:r>
        <w:rPr>
          <w:rFonts w:ascii="Times New Roman" w:hAnsi="Times New Roman"/>
          <w:b/>
          <w:i w:val="false"/>
          <w:color w:val="000000"/>
          <w:sz w:val="22"/>
        </w:rPr>
        <w:t xml:space="preserve">(17A,272C) </w:t>
      </w:r>
      <w:r>
        <w:rPr>
          <w:rFonts w:ascii="Times New Roman" w:hAnsi="Times New Roman"/>
          <w:b/>
          <w:i w:val="false"/>
          <w:color w:val="000000"/>
          <w:sz w:val="22"/>
        </w:rPr>
        <w:t xml:space="preserve">License denial. </w:t>
      </w:r>
      <w:r>
        <w:rPr>
          <w:rFonts w:ascii="Times New Roman" w:hAnsi="Times New Roman"/>
          <w:b w:val="false"/>
          <w:i w:val="false"/>
          <w:color w:val="000000"/>
          <w:sz w:val="22"/>
        </w:rPr>
        <w:t xml:space="preserve">An applicant may appeal a preliminary notice of denial of license by filing a written notice of appeal and request for hearing with the board within 30 days of the date that the preliminary notice of denial of license was mailed or emailed by the board.  The hearing is a contested case conducted in accordance with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481—506.34</w:t>
      </w:r>
      <w:r>
        <w:rPr>
          <w:rFonts w:ascii="Times New Roman" w:hAnsi="Times New Roman"/>
          <w:b/>
          <w:i w:val="false"/>
          <w:color w:val="000000"/>
          <w:sz w:val="22"/>
        </w:rPr>
        <w:t xml:space="preserve">(272C) </w:t>
      </w:r>
      <w:r>
        <w:rPr>
          <w:rFonts w:ascii="Times New Roman" w:hAnsi="Times New Roman"/>
          <w:b/>
          <w:i w:val="false"/>
          <w:color w:val="000000"/>
          <w:sz w:val="22"/>
        </w:rPr>
        <w:t xml:space="preserve">Disciplinary hearings—fees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 in relation to formal disciplinary action filed by the board against a licensee,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“Deposition” </w:t>
      </w:r>
      <w:r>
        <w:rPr>
          <w:rFonts w:ascii="Times New Roman" w:hAnsi="Times New Roman"/>
          <w:b w:val="false"/>
          <w:i w:val="false"/>
          <w:color w:val="000000"/>
          <w:sz w:val="22"/>
        </w:rPr>
        <w:t xml:space="preserve">means the testimony of a person taken pursuant to subpoena or at the request of the state of Iowa taken in a setting other than a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“Evaluation fees” </w:t>
      </w:r>
      <w:r>
        <w:rPr>
          <w:rFonts w:ascii="Times New Roman" w:hAnsi="Times New Roman"/>
          <w:b w:val="false"/>
          <w:i w:val="false"/>
          <w:color w:val="000000"/>
          <w:sz w:val="22"/>
        </w:rPr>
        <w:t xml:space="preserve">means actual costs incurred by the board in a physical, mental, chemical abuse, other impairment-related examination or evaluation or clinical competency evaluation of a licensee when the examination or evaluation is conducted pursuant to an order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“Expenses” </w:t>
      </w:r>
      <w:r>
        <w:rPr>
          <w:rFonts w:ascii="Times New Roman" w:hAnsi="Times New Roman"/>
          <w:b w:val="false"/>
          <w:i w:val="false"/>
          <w:color w:val="000000"/>
          <w:sz w:val="22"/>
        </w:rPr>
        <w:t xml:space="preserve">means costs incurred by persons appearing pursuant to a subpoena or at the request of the state of Iowa for purposes of providing testimony on the part of the state of Iowa in a hearing or other official proceeding and includes mileage reimbursement at the rate specified in Iowa Code section </w:t>
      </w:r>
      <w:hyperlink r:id="rId51">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 xml:space="preserve"> or, if commercial air or ground transportation is used, the actual cost of transportation to and from the proceeding. Also included are actual costs incurred for meals and necessary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“Transcript” </w:t>
      </w:r>
      <w:r>
        <w:rPr>
          <w:rFonts w:ascii="Times New Roman" w:hAnsi="Times New Roman"/>
          <w:b w:val="false"/>
          <w:i w:val="false"/>
          <w:color w:val="000000"/>
          <w:sz w:val="22"/>
        </w:rPr>
        <w:t xml:space="preserve">means a printed verbatim reproduction of everything said on the record during a hearing or other official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“Witness fees” </w:t>
      </w:r>
      <w:r>
        <w:rPr>
          <w:rFonts w:ascii="Times New Roman" w:hAnsi="Times New Roman"/>
          <w:b w:val="false"/>
          <w:i w:val="false"/>
          <w:color w:val="000000"/>
          <w:sz w:val="22"/>
        </w:rPr>
        <w:t xml:space="preserve">means compensation paid by the board to persons appearing pursuant to subpoena or at the request of the state of Iowa for purposes of providing testimony on the part of the state of Iowa.  For the purposes of this rule, compensation is the same as outlined in Iowa Code section </w:t>
      </w:r>
      <w:hyperlink r:id="rId52">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or </w:t>
      </w:r>
      <w:hyperlink r:id="rId53">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506.34(2)</w:t>
      </w:r>
      <w:r>
        <w:rPr>
          <w:rFonts w:ascii="Times New Roman" w:hAnsi="Times New Roman"/>
          <w:b w:val="false"/>
          <w:i w:val="false"/>
          <w:color w:val="000000"/>
          <w:sz w:val="22"/>
        </w:rPr>
        <w:t> </w:t>
      </w:r>
      <w:r>
        <w:rPr>
          <w:rFonts w:ascii="Times New Roman" w:hAnsi="Times New Roman"/>
          <w:b w:val="false"/>
          <w:i/>
          <w:color w:val="000000"/>
          <w:sz w:val="22"/>
        </w:rPr>
        <w:t xml:space="preserve">Disciplinary hearing fee and related hearing costs. </w:t>
      </w:r>
      <w:r>
        <w:rPr>
          <w:rFonts w:ascii="Times New Roman" w:hAnsi="Times New Roman"/>
          <w:b w:val="false"/>
          <w:i w:val="false"/>
          <w:color w:val="000000"/>
          <w:sz w:val="22"/>
        </w:rPr>
        <w:t xml:space="preserve">As set forth in Iowa Code section </w:t>
      </w:r>
      <w:hyperlink r:id="rId54">
        <w:r>
          <w:rPr>
            <w:rStyle w:val="Hyperlink"/>
            <w:rFonts w:ascii="Times New Roman" w:hAnsi="Times New Roman"/>
            <w:b w:val="false"/>
            <w:i w:val="false"/>
            <w:color w:val="000000"/>
            <w:sz w:val="22"/>
          </w:rPr>
          <w:t>272C.6(6)</w:t>
        </w:r>
      </w:hyperlink>
      <w:r>
        <w:rPr>
          <w:rFonts w:ascii="Times New Roman" w:hAnsi="Times New Roman"/>
          <w:b w:val="false"/>
          <w:i w:val="false"/>
          <w:color w:val="000000"/>
          <w:sz w:val="22"/>
        </w:rPr>
        <w:t xml:space="preserve">, a board created pursuant to Iowa Code chapter </w:t>
      </w:r>
      <w:hyperlink r:id="rId5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or </w:t>
      </w:r>
      <w:hyperlink r:id="rId64">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may charge a fee not to exceed $75 for conducting a disciplinary hearing that results in disciplinary action taken against the licensee by the board. The board may also recover from the licensee the costs for transcripts, witness fees and expenses, depositions, and medical examination fees incurred relating to a person licensed under Iowa Code chapter </w:t>
      </w:r>
      <w:hyperlink r:id="rId6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 xml:space="preserve">, or </w:t>
      </w:r>
      <w:hyperlink r:id="rId68">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 order assessing a fee will be included as part of the board’s final decision and will direct the licensee to deliver payment directly to the board. The allocation of fees and costs collected pursuant to this subrule is in accordance with Iowa Code section </w:t>
      </w:r>
      <w:hyperlink r:id="rId69">
        <w:r>
          <w:rPr>
            <w:rStyle w:val="Hyperlink"/>
            <w:rFonts w:ascii="Times New Roman" w:hAnsi="Times New Roman"/>
            <w:b w:val="false"/>
            <w:i w:val="false"/>
            <w:color w:val="000000"/>
            <w:sz w:val="22"/>
          </w:rPr>
          <w:t>272C.6(6)</w:t>
        </w:r>
      </w:hyperlink>
      <w:r>
        <w:rPr>
          <w:rFonts w:ascii="Times New Roman" w:hAnsi="Times New Roman"/>
          <w:b w:val="false"/>
          <w:i/>
          <w:color w:val="000000"/>
          <w:sz w:val="22"/>
        </w:rPr>
        <w:t>“b.”</w:t>
      </w:r>
      <w:r>
        <w:rPr>
          <w:rFonts w:ascii="Times New Roman" w:hAnsi="Times New Roman"/>
          <w:b w:val="false"/>
          <w:i w:val="false"/>
          <w:color w:val="000000"/>
          <w:sz w:val="22"/>
        </w:rPr>
        <w:t>  The board may assess these costs in the manner it deems most equitable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Transcript costs. </w:t>
      </w:r>
      <w:r>
        <w:rPr>
          <w:rFonts w:ascii="Times New Roman" w:hAnsi="Times New Roman"/>
          <w:b w:val="false"/>
          <w:i w:val="false"/>
          <w:color w:val="000000"/>
          <w:sz w:val="22"/>
        </w:rPr>
        <w:t xml:space="preserve">The board may recover the costs for the court reporter and assess the transcript costs against the licensee pursuant to Iowa Code section </w:t>
      </w:r>
      <w:hyperlink r:id="rId70">
        <w:r>
          <w:rPr>
            <w:rStyle w:val="Hyperlink"/>
            <w:rFonts w:ascii="Times New Roman" w:hAnsi="Times New Roman"/>
            <w:b w:val="false"/>
            <w:i w:val="false"/>
            <w:color w:val="000000"/>
            <w:sz w:val="22"/>
          </w:rPr>
          <w:t>272C.6(6)</w:t>
        </w:r>
      </w:hyperlink>
      <w:r>
        <w:rPr>
          <w:rFonts w:ascii="Times New Roman" w:hAnsi="Times New Roman"/>
          <w:b w:val="false"/>
          <w:i w:val="false"/>
          <w:color w:val="000000"/>
          <w:sz w:val="22"/>
        </w:rPr>
        <w:t xml:space="preserve">, if applicable, or against the requesting party pursuant to Iowa Code section </w:t>
      </w:r>
      <w:hyperlink r:id="rId71">
        <w:r>
          <w:rPr>
            <w:rStyle w:val="Hyperlink"/>
            <w:rFonts w:ascii="Times New Roman" w:hAnsi="Times New Roman"/>
            <w:b w:val="false"/>
            <w:i w:val="false"/>
            <w:color w:val="000000"/>
            <w:sz w:val="22"/>
          </w:rPr>
          <w:t>17A.12(7)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the transcript includes the transcript of the original contested case hearing before the board, as well as transcripts of any other formal proceedings before the board that occur after the notice of the contested case hearing is filed.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of an appeal to the full board from a proposed decision, the appealing party shall timely request and pay for the transcript necessary for use in the agency 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Witness fees and expenses. </w:t>
      </w:r>
      <w:r>
        <w:rPr>
          <w:rFonts w:ascii="Times New Roman" w:hAnsi="Times New Roman"/>
          <w:b w:val="false"/>
          <w:i w:val="false"/>
          <w:color w:val="000000"/>
          <w:sz w:val="22"/>
        </w:rPr>
        <w:t>The parties in a contested case are responsible for any witness fees and expenses incurred by witnesses appearing at the contested case hearing.  In addition, the board may assess the licensee the witness fees and expenses incurred by the witnesses called to testify on behalf of the state of Iowa, provided that the costs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for lay witnesses are determined in accordance with Iowa Code section </w:t>
      </w:r>
      <w:hyperlink r:id="rId72">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For purposes of calculating the mileage expenses allowed under that section, the provisions of Iowa Code section </w:t>
      </w:r>
      <w:hyperlink r:id="rId73">
        <w:r>
          <w:rPr>
            <w:rStyle w:val="Hyperlink"/>
            <w:rFonts w:ascii="Times New Roman" w:hAnsi="Times New Roman"/>
            <w:b w:val="false"/>
            <w:i w:val="false"/>
            <w:color w:val="000000"/>
            <w:sz w:val="22"/>
          </w:rPr>
          <w:t>625.2</w:t>
        </w:r>
      </w:hyperlink>
      <w:r>
        <w:rPr>
          <w:rFonts w:ascii="Times New Roman" w:hAnsi="Times New Roman"/>
          <w:b w:val="false"/>
          <w:i w:val="false"/>
          <w:color w:val="000000"/>
          <w:sz w:val="22"/>
        </w:rPr>
        <w:t xml:space="preserve">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for expert witnesses are determined in accordance with Iowa Code section </w:t>
      </w:r>
      <w:hyperlink r:id="rId74">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xml:space="preserve">. For purposes of calculating the mileage expenses allowed under that section, the provisions of Iowa Code section </w:t>
      </w:r>
      <w:hyperlink r:id="rId75">
        <w:r>
          <w:rPr>
            <w:rStyle w:val="Hyperlink"/>
            <w:rFonts w:ascii="Times New Roman" w:hAnsi="Times New Roman"/>
            <w:b w:val="false"/>
            <w:i w:val="false"/>
            <w:color w:val="000000"/>
            <w:sz w:val="22"/>
          </w:rPr>
          <w:t>625.2</w:t>
        </w:r>
      </w:hyperlink>
      <w:r>
        <w:rPr>
          <w:rFonts w:ascii="Times New Roman" w:hAnsi="Times New Roman"/>
          <w:b w:val="false"/>
          <w:i w:val="false"/>
          <w:color w:val="000000"/>
          <w:sz w:val="22"/>
        </w:rPr>
        <w:t xml:space="preserve"> do not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section </w:t>
      </w:r>
      <w:hyperlink r:id="rId76">
        <w:r>
          <w:rPr>
            <w:rStyle w:val="Hyperlink"/>
            <w:rFonts w:ascii="Times New Roman" w:hAnsi="Times New Roman"/>
            <w:b w:val="false"/>
            <w:i w:val="false"/>
            <w:color w:val="000000"/>
            <w:sz w:val="22"/>
          </w:rPr>
          <w:t>622.74</w:t>
        </w:r>
      </w:hyperlink>
      <w:r>
        <w:rPr>
          <w:rFonts w:ascii="Times New Roman" w:hAnsi="Times New Roman"/>
          <w:b w:val="false"/>
          <w:i w:val="false"/>
          <w:color w:val="000000"/>
          <w:sz w:val="22"/>
        </w:rPr>
        <w:t xml:space="preserve"> regarding advance payment of witness fees and the consequences for failure to make such payment are applicable with regard to witnesses who are subpoenaed by either party to testify at the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assess as costs the meal and lodging expenses necessarily incurred by witnesses testifying at the request of the state of Iowa. Meal and lodging costs shall not exceed the reimbursement employees of the state of Iowa receive for these expenses under the department of revenue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Deposition costs. </w:t>
      </w:r>
      <w:r>
        <w:rPr>
          <w:rFonts w:ascii="Times New Roman" w:hAnsi="Times New Roman"/>
          <w:b w:val="false"/>
          <w:i w:val="false"/>
          <w:color w:val="000000"/>
          <w:sz w:val="22"/>
        </w:rPr>
        <w:t xml:space="preserve">Deposition costs for purposes of allocating costs against a licensee include only those deposition costs incurred by the state of Iowa. The licensee is directly responsible for the payment of deposition costs incurred by the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for depositions include the cost of transcripts, the daily charge of the court reporter for attending and transcribing the deposition, and all mileage and travel time charges of the court reporter for traveling to and from the deposition that are charged in the ordinary course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deposition is of an expert witness, the deposition cost includes a reasonable fee for an expert witness.  This fee will not exceed the expert’s customary hourly or daily fee and shall include the time reasonably and necessarily spent in connection with such deposition, including the time spent in travel to and from the deposition, but excluding time spent in preparation for that deposition.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examination fees. </w:t>
      </w:r>
      <w:r>
        <w:rPr>
          <w:rFonts w:ascii="Times New Roman" w:hAnsi="Times New Roman"/>
          <w:b w:val="false"/>
          <w:i w:val="false"/>
          <w:color w:val="000000"/>
          <w:sz w:val="22"/>
        </w:rPr>
        <w:t xml:space="preserve">All costs of physical or mental examinations or substance abuse evaluations or drug screening or clinical competency evaluations ordered by the board pursuant to Iowa Code section </w:t>
      </w:r>
      <w:hyperlink r:id="rId77">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 xml:space="preserve"> as part of an investigation of a pending complaint or as a sanction following a contested case shall be paid directly by the licensee.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506.34(3)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reimbursable costs. </w:t>
      </w:r>
      <w:r>
        <w:rPr>
          <w:rFonts w:ascii="Times New Roman" w:hAnsi="Times New Roman"/>
          <w:b w:val="false"/>
          <w:i w:val="false"/>
          <w:color w:val="000000"/>
          <w:sz w:val="22"/>
        </w:rPr>
        <w:t xml:space="preserve">The board administrator or designee will certify any reimbursable costs incurred by the board.  The board administrator will calculate the specific costs, certify the cost calculated, and file the certification as part of the record in the contested case.  A copy of the certification shall be served on the party responsible for payment of the certified costs at the time of the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506.34(4)</w:t>
      </w:r>
      <w:r>
        <w:rPr>
          <w:rFonts w:ascii="Times New Roman" w:hAnsi="Times New Roman"/>
          <w:b w:val="false"/>
          <w:i w:val="false"/>
          <w:color w:val="000000"/>
          <w:sz w:val="22"/>
        </w:rPr>
        <w:t> </w:t>
      </w:r>
      <w:r>
        <w:rPr>
          <w:rFonts w:ascii="Times New Roman" w:hAnsi="Times New Roman"/>
          <w:b w:val="false"/>
          <w:i/>
          <w:color w:val="000000"/>
          <w:sz w:val="22"/>
        </w:rPr>
        <w:t xml:space="preserve">Assessment of fees and costs. </w:t>
      </w:r>
      <w:r>
        <w:rPr>
          <w:rFonts w:ascii="Times New Roman" w:hAnsi="Times New Roman"/>
          <w:b w:val="false"/>
          <w:i w:val="false"/>
          <w:color w:val="000000"/>
          <w:sz w:val="22"/>
        </w:rPr>
        <w:t xml:space="preserve">A final decision of the board imposing disciplinary action against a licensee shall include the amount of any disciplinary hearing fee assessed. If the board also assesses reimbursable costs against the licensee, the board will file a certification of reimbursable costs that includes a statement of costs delineating each category of costs and the amount assessed.  The board will specify the time period in which the fees and costs must be paid by the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seeking judicial review, a party shall file an objection to any fees or costs imposed by the board in order to exhaust administrative remedies.  An objection shall be filed in the form of an application for rehearing pursuant to Iowa Code section </w:t>
      </w:r>
      <w:hyperlink r:id="rId78">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will be resolved by the board consistent with the procedures for ruling on an application for rehearing.  Any dispute regarding the calculation of any fees or costs to be assessed may be resolved by the board upon receipt of the parties’ written objections.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506.34(5)</w:t>
      </w:r>
      <w:r>
        <w:rPr>
          <w:rFonts w:ascii="Times New Roman" w:hAnsi="Times New Roman"/>
          <w:b w:val="false"/>
          <w:i w:val="false"/>
          <w:color w:val="000000"/>
          <w:sz w:val="22"/>
        </w:rPr>
        <w:t> </w:t>
      </w:r>
      <w:r>
        <w:rPr>
          <w:rFonts w:ascii="Times New Roman" w:hAnsi="Times New Roman"/>
          <w:b w:val="false"/>
          <w:i/>
          <w:color w:val="000000"/>
          <w:sz w:val="22"/>
        </w:rPr>
        <w:t xml:space="preserve">Payment of fees and costs. </w:t>
      </w:r>
      <w:r>
        <w:rPr>
          <w:rFonts w:ascii="Times New Roman" w:hAnsi="Times New Roman"/>
          <w:b w:val="false"/>
          <w:i w:val="false"/>
          <w:color w:val="000000"/>
          <w:sz w:val="22"/>
        </w:rPr>
        <w:t xml:space="preserve">All fees and costs assessed pursuant to this rule shall be made in the form of a check or money order made payable to the board and delivered to the board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506.34(6)</w:t>
      </w:r>
      <w:r>
        <w:rPr>
          <w:rFonts w:ascii="Times New Roman" w:hAnsi="Times New Roman"/>
          <w:b w:val="false"/>
          <w:i w:val="false"/>
          <w:color w:val="000000"/>
          <w:sz w:val="22"/>
        </w:rPr>
        <w:t> </w:t>
      </w:r>
      <w:r>
        <w:rPr>
          <w:rFonts w:ascii="Times New Roman" w:hAnsi="Times New Roman"/>
          <w:b w:val="false"/>
          <w:i/>
          <w:color w:val="000000"/>
          <w:sz w:val="22"/>
        </w:rPr>
        <w:t xml:space="preserve">Failure to make payment. </w:t>
      </w:r>
      <w:r>
        <w:rPr>
          <w:rFonts w:ascii="Times New Roman" w:hAnsi="Times New Roman"/>
          <w:b w:val="false"/>
          <w:i w:val="false"/>
          <w:color w:val="000000"/>
          <w:sz w:val="22"/>
        </w:rPr>
        <w:t xml:space="preserve">Failure of a licensee to pay any fees and costs within the time specified in the board order constitutes a violation of an order of the board and may be grounds for disciplinary action.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481—506.35</w:t>
      </w:r>
      <w:r>
        <w:rPr>
          <w:rFonts w:ascii="Times New Roman" w:hAnsi="Times New Roman"/>
          <w:b/>
          <w:i w:val="false"/>
          <w:color w:val="000000"/>
          <w:sz w:val="22"/>
        </w:rPr>
        <w:t xml:space="preserve">(17A,272C) </w:t>
      </w:r>
      <w:r>
        <w:rPr>
          <w:rFonts w:ascii="Times New Roman" w:hAnsi="Times New Roman"/>
          <w:b/>
          <w:i w:val="false"/>
          <w:color w:val="000000"/>
          <w:sz w:val="22"/>
        </w:rPr>
        <w:t xml:space="preserve">Settlement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506.35(1)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 determination by the board that probable cause exists to take public disciplinary action, the board and the licensee may enter into a combined statement of charges and settlement agreement or consent order. Entering into a combined statement of charges and settlement agreement or consent order is voluntary, and no licensee is entitled to be offered a combined statement of charges and settlement agreement or consent order. The combined statement of charges and settlement agreement or consent order shall include a brief statement of the charges, the circumstances that led to the charges, and the terms of settlement. Execution of a combined statement of charges and settlement agreement or consent order constitutes the commencement and resolution of a contested case proceeding. By electing to sign a combined statement of charges and settlement agreement, the licensee waives the right to a contested case hearing on the matter and waives the right to receive the investigative file. A combined statement of charges and settlement agreement is a public record open for inspection pursuant to Iowa Code chapter </w:t>
      </w:r>
      <w:hyperlink r:id="rId7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506.35(2)</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contested case may be resolved by settlement agreement or consent order. Settlement negotiations may be initiated by any party at any stage of a contested case. No party is required to participate in the settlement process. The assistant attorney general representing the state of Iowa or approved department personnel are authorized to negotiate on behalf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full board will not be involved in negotiations until a written proposed settlement is submitted to the full board for approval unless both parties waive this prohibition.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506.35(4)</w:t>
      </w:r>
      <w:r>
        <w:rPr>
          <w:rFonts w:ascii="Times New Roman" w:hAnsi="Times New Roman"/>
          <w:b w:val="false"/>
          <w:i w:val="false"/>
          <w:color w:val="000000"/>
          <w:sz w:val="22"/>
        </w:rPr>
        <w:t> </w:t>
      </w:r>
      <w:r>
        <w:rPr>
          <w:rFonts w:ascii="Times New Roman" w:hAnsi="Times New Roman"/>
          <w:b w:val="false"/>
          <w:i w:val="false"/>
          <w:color w:val="000000"/>
          <w:sz w:val="22"/>
        </w:rPr>
        <w:t xml:space="preserve">Consent to negotiation by the respondent during settlement negotiations constitutes a waiver of notice and opportunity to be heard during settlement negotiation pursuant to Iowa Code section </w:t>
      </w:r>
      <w:hyperlink r:id="rId80">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Thereafter, the prosecuting attorney is authorized to discuss settlement with the board chairperson or designee or approved department personnel. By signing the proposed consent order, the respondent authorizes the prosecuting attorney or executive officer to have ex parte communications with the board related to the terms of settlement. A board member who is designated to act in negotiation of settlement is not disqualified from participating in the contested case should the case proceed to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506.35(5)</w:t>
      </w:r>
      <w:r>
        <w:rPr>
          <w:rFonts w:ascii="Times New Roman" w:hAnsi="Times New Roman"/>
          <w:b w:val="false"/>
          <w:i w:val="false"/>
          <w:color w:val="000000"/>
          <w:sz w:val="22"/>
        </w:rPr>
        <w:t> </w:t>
      </w:r>
      <w:r>
        <w:rPr>
          <w:rFonts w:ascii="Times New Roman" w:hAnsi="Times New Roman"/>
          <w:b w:val="false"/>
          <w:i w:val="false"/>
          <w:color w:val="000000"/>
          <w:sz w:val="22"/>
        </w:rPr>
        <w:t xml:space="preserve">Settlement agreements shall be completed at least seven days prior to the date scheduled for hearing whenever possible.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506.35(6)</w:t>
      </w:r>
      <w:r>
        <w:rPr>
          <w:rFonts w:ascii="Times New Roman" w:hAnsi="Times New Roman"/>
          <w:b w:val="false"/>
          <w:i w:val="false"/>
          <w:color w:val="000000"/>
          <w:sz w:val="22"/>
        </w:rPr>
        <w:t> </w:t>
      </w:r>
      <w:r>
        <w:rPr>
          <w:rFonts w:ascii="Times New Roman" w:hAnsi="Times New Roman"/>
          <w:b w:val="false"/>
          <w:i w:val="false"/>
          <w:color w:val="000000"/>
          <w:sz w:val="22"/>
        </w:rPr>
        <w:t xml:space="preserve">All settlements are subject to approval by the majority of the board.  If the board fails to approve the settlement, it will be of no force or effect to either party and will not be admissible at hearing. Upon rejecting a proposed consent order, the board may suggest alternative terms of settlement that the respondent is free to accept or reject.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506.35(7)</w:t>
      </w:r>
      <w:r>
        <w:rPr>
          <w:rFonts w:ascii="Times New Roman" w:hAnsi="Times New Roman"/>
          <w:b w:val="false"/>
          <w:i w:val="false"/>
          <w:color w:val="000000"/>
          <w:sz w:val="22"/>
        </w:rPr>
        <w:t> </w:t>
      </w:r>
      <w:r>
        <w:rPr>
          <w:rFonts w:ascii="Times New Roman" w:hAnsi="Times New Roman"/>
          <w:b w:val="false"/>
          <w:i w:val="false"/>
          <w:color w:val="000000"/>
          <w:sz w:val="22"/>
        </w:rPr>
        <w:t xml:space="preserve">A settlement agreement is a public record open for inspection pursuant to Iowa Code chapter </w:t>
      </w:r>
      <w:hyperlink r:id="rId8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506.35(8)</w:t>
      </w:r>
      <w:r>
        <w:rPr>
          <w:rFonts w:ascii="Times New Roman" w:hAnsi="Times New Roman"/>
          <w:b w:val="false"/>
          <w:i w:val="false"/>
          <w:color w:val="000000"/>
          <w:sz w:val="22"/>
        </w:rPr>
        <w:t> </w:t>
      </w:r>
      <w:r>
        <w:rPr>
          <w:rFonts w:ascii="Times New Roman" w:hAnsi="Times New Roman"/>
          <w:b w:val="false"/>
          <w:i w:val="false"/>
          <w:color w:val="000000"/>
          <w:sz w:val="22"/>
        </w:rPr>
        <w:t>The board may accept the voluntary surrender of a license if it is accompanied by a written statement of intention. A voluntary surrender, when accepted in connection with a disciplinary proceeding, has the same force and effect as an order of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481—506.36</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board in its discretion may refuse to give effect to such a waiver if it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9106C</w:t>
      </w:r>
      <w:r>
        <w:rPr>
          <w:rFonts w:ascii="Times New Roman" w:hAnsi="Times New Roman"/>
          <w:b w:val="false"/>
          <w:i w:val="false"/>
          <w:color w:val="000000"/>
          <w:sz w:val="16"/>
        </w:rPr>
        <w:t>, IAB 4/16/25, effective 3/28/25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ARC 8080C</w:t>
      </w:r>
      <w:r>
        <w:rPr>
          <w:rFonts w:ascii="Times New Roman" w:hAnsi="Times New Roman"/>
          <w:b w:val="false"/>
          <w:i w:val="false"/>
          <w:color w:val="000000"/>
          <w:sz w:val="21"/>
        </w:rPr>
        <w:t xml:space="preserve"> (Notice ARC 7299C,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Emergency After Notice ARC 9106C</w:t>
      </w:r>
      <w:r>
        <w:rPr>
          <w:rFonts w:ascii="Times New Roman" w:hAnsi="Times New Roman"/>
          <w:b w:val="false"/>
          <w:i w:val="false"/>
          <w:color w:val="000000"/>
          <w:sz w:val="21"/>
        </w:rPr>
        <w:t xml:space="preserve"> (Notice ARC 8953C, IAB 2/19/25)</w:t>
      </w:r>
      <w:r>
        <w:rPr>
          <w:rFonts w:ascii="Times New Roman" w:hAnsi="Times New Roman"/>
          <w:b w:val="false"/>
          <w:i w:val="false"/>
          <w:color w:val="000000"/>
          <w:sz w:val="21"/>
        </w:rPr>
        <w:t>, IAB 4/16/25, effective 3/28/25]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17A.10A.pdf" Type="http://schemas.openxmlformats.org/officeDocument/2006/relationships/hyperlink" Id="rId7"/>
    <Relationship TargetMode="External" Target="https://www.legis.iowa.gov/docs/ico/chapter/272C.1.pdf" Type="http://schemas.openxmlformats.org/officeDocument/2006/relationships/hyperlink" Id="rId8"/>
    <Relationship TargetMode="External" Target="https://www.legis.iowa.gov/docs/ico/chapter/10A.pdf" Type="http://schemas.openxmlformats.org/officeDocument/2006/relationships/hyperlink" Id="rId9"/>
    <Relationship TargetMode="External" Target="https://www.legis.iowa.gov/docs/ico/chapter/272C.1.pdf" Type="http://schemas.openxmlformats.org/officeDocument/2006/relationships/hyperlink" Id="rId10"/>
    <Relationship TargetMode="External" Target="https://www.legis.iowa.gov/docs/ico/chapter/10A.pdf" Type="http://schemas.openxmlformats.org/officeDocument/2006/relationships/hyperlink" Id="rId11"/>
    <Relationship TargetMode="External" Target="https://www.legis.iowa.gov/docs/ico/chapter/272C.6.pdf" Type="http://schemas.openxmlformats.org/officeDocument/2006/relationships/hyperlink" Id="rId12"/>
    <Relationship TargetMode="External" Target="https://www.legis.iowa.gov/docs/ico/chapter/4.1.pdf" Type="http://schemas.openxmlformats.org/officeDocument/2006/relationships/hyperlink" Id="rId13"/>
    <Relationship TargetMode="External" Target="https://www.legis.iowa.gov/docs/ico/chapter/17A.11.pdf" Type="http://schemas.openxmlformats.org/officeDocument/2006/relationships/hyperlink" Id="rId14"/>
    <Relationship TargetMode="External" Target="https://www.legis.iowa.gov/docs/ico/chapter/22.pdf" Type="http://schemas.openxmlformats.org/officeDocument/2006/relationships/hyperlink" Id="rId15"/>
    <Relationship TargetMode="External" Target="https://www.legis.iowa.gov/docs/iac/rule/481.506.5.pdf" Type="http://schemas.openxmlformats.org/officeDocument/2006/relationships/hyperlink" Id="rId16"/>
    <Relationship TargetMode="External" Target="https://www.legis.iowa.gov/docs/ico/chapter/272C.6.pdf" Type="http://schemas.openxmlformats.org/officeDocument/2006/relationships/hyperlink" Id="rId17"/>
    <Relationship TargetMode="External" Target="https://www.legis.iowa.gov/docs/iac/rule/481.506.8.pdf" Type="http://schemas.openxmlformats.org/officeDocument/2006/relationships/hyperlink" Id="rId18"/>
    <Relationship TargetMode="External" Target="https://www.legis.iowa.gov/docs/ico/chapter/272C.6.pdf" Type="http://schemas.openxmlformats.org/officeDocument/2006/relationships/hyperlink" Id="rId19"/>
    <Relationship TargetMode="External" Target="https://www.legis.iowa.gov/docs/iac/rule/481.506.24.pdf" Type="http://schemas.openxmlformats.org/officeDocument/2006/relationships/hyperlink" Id="rId20"/>
    <Relationship TargetMode="External" Target="https://www.legis.iowa.gov/docs/ico/chapter/17A.15.pdf" Type="http://schemas.openxmlformats.org/officeDocument/2006/relationships/hyperlink" Id="rId21"/>
    <Relationship TargetMode="External" Target="https://www.legis.iowa.gov/docs/iac/rule/481.506.9.pdf" Type="http://schemas.openxmlformats.org/officeDocument/2006/relationships/hyperlink" Id="rId22"/>
    <Relationship TargetMode="External" Target="https://www.legis.iowa.gov/docs/iac/rule/481.506.8.pdf" Type="http://schemas.openxmlformats.org/officeDocument/2006/relationships/hyperlink" Id="rId23"/>
    <Relationship TargetMode="External" Target="https://www.legis.iowa.gov/docs/ico/chapter/17A.17.pdf" Type="http://schemas.openxmlformats.org/officeDocument/2006/relationships/hyperlink" Id="rId24"/>
    <Relationship TargetMode="External" Target="https://www.legis.iowa.gov/docs/iac/rule/481.506.10.pdf" Type="http://schemas.openxmlformats.org/officeDocument/2006/relationships/hyperlink" Id="rId25"/>
    <Relationship TargetMode="External" Target="https://www.legis.iowa.gov/docs/iac/rule/481.506.22.pdf" Type="http://schemas.openxmlformats.org/officeDocument/2006/relationships/hyperlink" Id="rId26"/>
    <Relationship TargetMode="External" Target="https://www.legis.iowa.gov/docs/iac/rule/481.506.10.pdf" Type="http://schemas.openxmlformats.org/officeDocument/2006/relationships/hyperlink" Id="rId27"/>
    <Relationship TargetMode="External" Target="https://www.legis.iowa.gov/docs/ico/chapter/17A.17.pdf" Type="http://schemas.openxmlformats.org/officeDocument/2006/relationships/hyperlink" Id="rId28"/>
    <Relationship TargetMode="External" Target="https://www.legis.iowa.gov/docs/ico/chapter/17A.16.pdf" Type="http://schemas.openxmlformats.org/officeDocument/2006/relationships/hyperlink" Id="rId29"/>
    <Relationship TargetMode="External" Target="https://www.legis.iowa.gov/docs/iac/chapter/481.16.pdf" Type="http://schemas.openxmlformats.org/officeDocument/2006/relationships/hyperlink" Id="rId30"/>
    <Relationship TargetMode="External" Target="https://www.legis.iowa.gov/docs/ico/chapter/272C.6.pdf" Type="http://schemas.openxmlformats.org/officeDocument/2006/relationships/hyperlink" Id="rId31"/>
    <Relationship TargetMode="External" Target="https://www.legis.iowa.gov/docs/iac/rule/481.503.5.pdf" Type="http://schemas.openxmlformats.org/officeDocument/2006/relationships/hyperlink" Id="rId32"/>
    <Relationship TargetMode="External" Target="https://www.legis.iowa.gov/docs/iac/rule/481.503.5.pdf" Type="http://schemas.openxmlformats.org/officeDocument/2006/relationships/hyperlink" Id="rId33"/>
    <Relationship TargetMode="External" Target="https://www.legis.iowa.gov/docs/iac/rule/653.1.1.pdf" Type="http://schemas.openxmlformats.org/officeDocument/2006/relationships/hyperlink" Id="rId34"/>
    <Relationship TargetMode="External" Target="https://www.legis.iowa.gov/docs/ico/chapter/148.2A.pdf" Type="http://schemas.openxmlformats.org/officeDocument/2006/relationships/hyperlink" Id="rId35"/>
    <Relationship TargetMode="External" Target="https://www.legis.iowa.gov/docs/ico/chapter/148.7.pdf" Type="http://schemas.openxmlformats.org/officeDocument/2006/relationships/hyperlink" Id="rId36"/>
    <Relationship TargetMode="External" Target="https://www.legis.iowa.gov/docs/ico/chapter/148.pdf" Type="http://schemas.openxmlformats.org/officeDocument/2006/relationships/hyperlink" Id="rId37"/>
    <Relationship TargetMode="External" Target="https://www.legis.iowa.gov/docs/ico/chapter/272C.6.pdf" Type="http://schemas.openxmlformats.org/officeDocument/2006/relationships/hyperlink" Id="rId38"/>
    <Relationship TargetMode="External" Target="https://www.legis.iowa.gov/docs/iac/rule/481.506.24.pdf" Type="http://schemas.openxmlformats.org/officeDocument/2006/relationships/hyperlink" Id="rId39"/>
    <Relationship TargetMode="External" Target="https://www.legis.iowa.gov/docs/iac/rule/481.506.26.pdf" Type="http://schemas.openxmlformats.org/officeDocument/2006/relationships/hyperlink" Id="rId40"/>
    <Relationship TargetMode="External" Target="https://www.legis.iowa.gov/docs/iac/rule/481.506.6.pdf" Type="http://schemas.openxmlformats.org/officeDocument/2006/relationships/hyperlink" Id="rId41"/>
    <Relationship TargetMode="External" Target="https://www.legis.iowa.gov/docs/ico/chapter/17A.13.pdf" Type="http://schemas.openxmlformats.org/officeDocument/2006/relationships/hyperlink" Id="rId42"/>
    <Relationship TargetMode="External" Target="https://www.legis.iowa.gov/docs/iac/rule/481.506.13.pdf" Type="http://schemas.openxmlformats.org/officeDocument/2006/relationships/hyperlink" Id="rId43"/>
    <Relationship TargetMode="External" Target="https://www.legis.iowa.gov/docs/ico/chapter/148.2A.pdf" Type="http://schemas.openxmlformats.org/officeDocument/2006/relationships/hyperlink" Id="rId44"/>
    <Relationship TargetMode="External" Target="https://www.legis.iowa.gov/docs/iac/rule/481.506.25.pdf" Type="http://schemas.openxmlformats.org/officeDocument/2006/relationships/hyperlink" Id="rId45"/>
    <Relationship TargetMode="External" Target="https://www.legis.iowa.gov/docs/iac/rule/481.506.25.pdf" Type="http://schemas.openxmlformats.org/officeDocument/2006/relationships/hyperlink" Id="rId46"/>
    <Relationship TargetMode="External" Target="https://www.legis.iowa.gov/docs/iac/rule/481.506.25.pdf" Type="http://schemas.openxmlformats.org/officeDocument/2006/relationships/hyperlink" Id="rId47"/>
    <Relationship TargetMode="External" Target="https://www.legis.iowa.gov/docs/ico/chapter/17A.19.pdf" Type="http://schemas.openxmlformats.org/officeDocument/2006/relationships/hyperlink" Id="rId48"/>
    <Relationship TargetMode="External" Target="https://www.legis.iowa.gov/docs/ico/chapter/17A.18A.pdf" Type="http://schemas.openxmlformats.org/officeDocument/2006/relationships/hyperlink" Id="rId49"/>
    <Relationship TargetMode="External" Target="https://www.legis.iowa.gov/docs/ico/chapter/17A.19.pdf" Type="http://schemas.openxmlformats.org/officeDocument/2006/relationships/hyperlink" Id="rId50"/>
    <Relationship TargetMode="External" Target="https://www.legis.iowa.gov/docs/ico/chapter/70A.9.pdf" Type="http://schemas.openxmlformats.org/officeDocument/2006/relationships/hyperlink" Id="rId51"/>
    <Relationship TargetMode="External" Target="https://www.legis.iowa.gov/docs/ico/chapter/622.69.pdf" Type="http://schemas.openxmlformats.org/officeDocument/2006/relationships/hyperlink" Id="rId52"/>
    <Relationship TargetMode="External" Target="https://www.legis.iowa.gov/docs/ico/chapter/622.72.pdf" Type="http://schemas.openxmlformats.org/officeDocument/2006/relationships/hyperlink" Id="rId53"/>
    <Relationship TargetMode="External" Target="https://www.legis.iowa.gov/docs/ico/chapter/272C.6.pdf" Type="http://schemas.openxmlformats.org/officeDocument/2006/relationships/hyperlink" Id="rId54"/>
    <Relationship TargetMode="External" Target="https://www.legis.iowa.gov/docs/ico/chapter/147.pdf" Type="http://schemas.openxmlformats.org/officeDocument/2006/relationships/hyperlink" Id="rId55"/>
    <Relationship TargetMode="External" Target="https://www.legis.iowa.gov/docs/ico/chapter/154A.pdf" Type="http://schemas.openxmlformats.org/officeDocument/2006/relationships/hyperlink" Id="rId56"/>
    <Relationship TargetMode="External" Target="https://www.legis.iowa.gov/docs/ico/chapter/155.pdf" Type="http://schemas.openxmlformats.org/officeDocument/2006/relationships/hyperlink" Id="rId57"/>
    <Relationship TargetMode="External" Target="https://www.legis.iowa.gov/docs/ico/chapter/169.pdf" Type="http://schemas.openxmlformats.org/officeDocument/2006/relationships/hyperlink" Id="rId58"/>
    <Relationship TargetMode="External" Target="https://www.legis.iowa.gov/docs/ico/chapter/542.pdf" Type="http://schemas.openxmlformats.org/officeDocument/2006/relationships/hyperlink" Id="rId59"/>
    <Relationship TargetMode="External" Target="https://www.legis.iowa.gov/docs/ico/chapter/542B.pdf" Type="http://schemas.openxmlformats.org/officeDocument/2006/relationships/hyperlink" Id="rId60"/>
    <Relationship TargetMode="External" Target="https://www.legis.iowa.gov/docs/ico/chapter/543B.pdf" Type="http://schemas.openxmlformats.org/officeDocument/2006/relationships/hyperlink" Id="rId61"/>
    <Relationship TargetMode="External" Target="https://www.legis.iowa.gov/docs/ico/chapter/543D.pdf" Type="http://schemas.openxmlformats.org/officeDocument/2006/relationships/hyperlink" Id="rId62"/>
    <Relationship TargetMode="External" Target="https://www.legis.iowa.gov/docs/ico/chapter/544A.pdf" Type="http://schemas.openxmlformats.org/officeDocument/2006/relationships/hyperlink" Id="rId63"/>
    <Relationship TargetMode="External" Target="https://www.legis.iowa.gov/docs/ico/chapter/544B.pdf" Type="http://schemas.openxmlformats.org/officeDocument/2006/relationships/hyperlink" Id="rId64"/>
    <Relationship TargetMode="External" Target="https://www.legis.iowa.gov/docs/ico/chapter/147.pdf" Type="http://schemas.openxmlformats.org/officeDocument/2006/relationships/hyperlink" Id="rId65"/>
    <Relationship TargetMode="External" Target="https://www.legis.iowa.gov/docs/ico/chapter/154A.pdf" Type="http://schemas.openxmlformats.org/officeDocument/2006/relationships/hyperlink" Id="rId66"/>
    <Relationship TargetMode="External" Target="https://www.legis.iowa.gov/docs/ico/chapter/155.pdf" Type="http://schemas.openxmlformats.org/officeDocument/2006/relationships/hyperlink" Id="rId67"/>
    <Relationship TargetMode="External" Target="https://www.legis.iowa.gov/docs/ico/chapter/169.pdf" Type="http://schemas.openxmlformats.org/officeDocument/2006/relationships/hyperlink" Id="rId68"/>
    <Relationship TargetMode="External" Target="https://www.legis.iowa.gov/docs/ico/chapter/272C.6.pdf" Type="http://schemas.openxmlformats.org/officeDocument/2006/relationships/hyperlink" Id="rId69"/>
    <Relationship TargetMode="External" Target="https://www.legis.iowa.gov/docs/ico/chapter/272C.6.pdf" Type="http://schemas.openxmlformats.org/officeDocument/2006/relationships/hyperlink" Id="rId70"/>
    <Relationship TargetMode="External" Target="https://www.legis.iowa.gov/docs/ico/chapter/17A.12.pdf" Type="http://schemas.openxmlformats.org/officeDocument/2006/relationships/hyperlink" Id="rId71"/>
    <Relationship TargetMode="External" Target="https://www.legis.iowa.gov/docs/ico/chapter/622.69.pdf" Type="http://schemas.openxmlformats.org/officeDocument/2006/relationships/hyperlink" Id="rId72"/>
    <Relationship TargetMode="External" Target="https://www.legis.iowa.gov/docs/ico/chapter/625.2.pdf" Type="http://schemas.openxmlformats.org/officeDocument/2006/relationships/hyperlink" Id="rId73"/>
    <Relationship TargetMode="External" Target="https://www.legis.iowa.gov/docs/ico/chapter/622.72.pdf" Type="http://schemas.openxmlformats.org/officeDocument/2006/relationships/hyperlink" Id="rId74"/>
    <Relationship TargetMode="External" Target="https://www.legis.iowa.gov/docs/ico/chapter/625.2.pdf" Type="http://schemas.openxmlformats.org/officeDocument/2006/relationships/hyperlink" Id="rId75"/>
    <Relationship TargetMode="External" Target="https://www.legis.iowa.gov/docs/ico/chapter/622.74.pdf" Type="http://schemas.openxmlformats.org/officeDocument/2006/relationships/hyperlink" Id="rId76"/>
    <Relationship TargetMode="External" Target="https://www.legis.iowa.gov/docs/ico/chapter/272C.9.pdf" Type="http://schemas.openxmlformats.org/officeDocument/2006/relationships/hyperlink" Id="rId77"/>
    <Relationship TargetMode="External" Target="https://www.legis.iowa.gov/docs/ico/chapter/17A.16.pdf" Type="http://schemas.openxmlformats.org/officeDocument/2006/relationships/hyperlink" Id="rId78"/>
    <Relationship TargetMode="External" Target="https://www.legis.iowa.gov/docs/ico/chapter/22.pdf" Type="http://schemas.openxmlformats.org/officeDocument/2006/relationships/hyperlink" Id="rId79"/>
    <Relationship TargetMode="External" Target="https://www.legis.iowa.gov/docs/ico/chapter/17A.17.pdf" Type="http://schemas.openxmlformats.org/officeDocument/2006/relationships/hyperlink" Id="rId80"/>
    <Relationship TargetMode="External" Target="https://www.legis.iowa.gov/docs/ico/chapter/22.pdf" Type="http://schemas.openxmlformats.org/officeDocument/2006/relationships/hyperlink" Id="rId81"/>
    <Relationship TargetMode="External" Target="https://www.legis.iowa.gov/docs/ico/chapter/17A.pdf" Type="http://schemas.openxmlformats.org/officeDocument/2006/relationships/hyperlink" Id="rId82"/>
    <Relationship TargetMode="External" Target="https://www.legis.iowa.gov/docs/ico/chapter/272C.pdf" Type="http://schemas.openxmlformats.org/officeDocument/2006/relationships/hyperlink" Id="rId8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