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469</w:t>
      </w:r>
    </w:p>
    <w:p>
      <w:pPr>
        <w:spacing w:before="0" w:after="0"/>
        <w:ind w:left="120"/>
        <w:jc w:val="center"/>
      </w:pPr>
      <w:r>
        <w:rPr>
          <w:rFonts w:ascii="Times New Roman" w:hAnsi="Times New Roman"/>
          <w:b w:val="false"/>
          <w:i w:val="false"/>
          <w:color w:val="000000"/>
          <w:sz w:val="21"/>
        </w:rPr>
        <w:t xml:space="preserve">RENOVATION, REMODELING, AND REPAINTING—LEAD </w:t>
      </w:r>
      <w:r>
        <w:br/>
      </w:r>
      <w:r>
        <w:rPr>
          <w:rFonts w:ascii="Times New Roman" w:hAnsi="Times New Roman"/>
          <w:b w:val="false"/>
          <w:i w:val="false"/>
          <w:color w:val="000000"/>
          <w:sz w:val="21"/>
        </w:rPr>
        <w:t>HAZARD NOTIFICATION PROCESS</w:t>
      </w:r>
    </w:p>
    <w:p>
      <w:pPr>
        <w:spacing w:before="0" w:after="0"/>
        <w:ind w:left="120"/>
        <w:jc w:val="center"/>
      </w:pPr>
      <w:r>
        <w:rPr>
          <w:rFonts w:ascii="Times New Roman" w:hAnsi="Times New Roman"/>
          <w:b w:val="false"/>
          <w:i w:val="false"/>
          <w:color w:val="000000"/>
          <w:sz w:val="14"/>
        </w:rPr>
        <w:t>[Prior to 4/2/25, see Public Health Department[641]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481—469.1</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perform renovation, remodeling, or repainting for compensation in target housing or a child-occupied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“Arithmetic mean”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mailing” </w:t>
      </w:r>
      <w:r>
        <w:rPr>
          <w:rFonts w:ascii="Times New Roman" w:hAnsi="Times New Roman"/>
          <w:b w:val="false"/>
          <w:i w:val="false"/>
          <w:color w:val="000000"/>
          <w:sz w:val="22"/>
        </w:rPr>
        <w:t>means certified mail with return receipt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means payment or reimbursement for services performed. Compensation is not limited to monetary considerations and includes payment of rent for rental units, receipt of a salary from the owner or manager of target housing, and receipt of a salary from the owner or operator of a child-occupied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facias, rake boards, corner boards, bulkheads, doors and door trim, fences, floors, joists, latticework, railings and railing caps, siding, handrails, stair risers and treads, stair stringers, columns, balustrades, windowsills or stools and troughs, casing, sashes and wells,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equal to or exceeding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unified combination of rooms designed for use as a dwelling by one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renovation, remodeling, or repainting” </w:t>
      </w:r>
      <w:r>
        <w:rPr>
          <w:rFonts w:ascii="Times New Roman" w:hAnsi="Times New Roman"/>
          <w:b w:val="false"/>
          <w:i w:val="false"/>
          <w:color w:val="000000"/>
          <w:sz w:val="22"/>
        </w:rPr>
        <w:t>means renovation, remodeling, or repainting activities necessitated by nonroutine failures of equipment or a structure that were not planned but resulted from a sudden, unexpected event that, if not immediately attended to, presents a safety or public health hazard or threatens equipment or property with significant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for the elderly” </w:t>
      </w:r>
      <w:r>
        <w:rPr>
          <w:rFonts w:ascii="Times New Roman" w:hAnsi="Times New Roman"/>
          <w:b w:val="false"/>
          <w:i w:val="false"/>
          <w:color w:val="000000"/>
          <w:sz w:val="22"/>
        </w:rPr>
        <w:t xml:space="preserve">means retirement communities or similar types of housing reserved for households composed of one or more persons 62 years of age or older or an age recognized as elderly by a specific federal housing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paint or other surface coatings that contain lead equal to or in excess of 1.0 milligram per square centimeter or more than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“Living area” </w:t>
      </w:r>
      <w:r>
        <w:rPr>
          <w:rFonts w:ascii="Times New Roman" w:hAnsi="Times New Roman"/>
          <w:b w:val="false"/>
          <w:i w:val="false"/>
          <w:color w:val="000000"/>
          <w:sz w:val="22"/>
        </w:rPr>
        <w:t>means any area of a residential dwelling used by at least one child six years of age or less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dwelling” </w:t>
      </w:r>
      <w:r>
        <w:rPr>
          <w:rFonts w:ascii="Times New Roman" w:hAnsi="Times New Roman"/>
          <w:b w:val="false"/>
          <w:i w:val="false"/>
          <w:color w:val="000000"/>
          <w:sz w:val="22"/>
        </w:rPr>
        <w:t>means a structure that contains more than one separate residential dwelling unit, which is used or occupied, or is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entity” </w:t>
      </w:r>
      <w:r>
        <w:rPr>
          <w:rFonts w:ascii="Times New Roman" w:hAnsi="Times New Roman"/>
          <w:b w:val="false"/>
          <w:i w:val="false"/>
          <w:color w:val="000000"/>
          <w:sz w:val="22"/>
        </w:rPr>
        <w:t>means any individual or company that is regulated by the department by virtue of these rules, the Iowa Code,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“Renovation, remodeling, repainting” </w:t>
      </w:r>
      <w:r>
        <w:rPr>
          <w:rFonts w:ascii="Times New Roman" w:hAnsi="Times New Roman"/>
          <w:b w:val="false"/>
          <w:i w:val="false"/>
          <w:color w:val="000000"/>
          <w:sz w:val="22"/>
        </w:rPr>
        <w:t xml:space="preserve">means modifying any existing structure or portion of a structure where painted surfaces are disturbed, unless the activity fits the criteria of lead abatement as defined in rule </w:t>
      </w:r>
      <w:hyperlink r:id="rId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 xml:space="preserve">(10A) and is performed by a certified lead abatement contractor as defined in rule </w:t>
      </w:r>
      <w:hyperlink r:id="rId7">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This includes, but is not limited to, removing walls, ceilings, and other painted building components; window replacement; floor refinishing; and sanding, scraping, stripping, water blasting, or otherwise removing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in excess of 400 parts per million for the dripline, mid-yard, and play areas. A soil-lead hazard is present in a dripline, mid-yard, or play area when the soil-lead concentration from a composite sample of bare soil is equal to or greater than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housing”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481—469.3</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target housing. </w:t>
      </w:r>
      <w:r>
        <w:rPr>
          <w:rFonts w:ascii="Times New Roman" w:hAnsi="Times New Roman"/>
          <w:b w:val="false"/>
          <w:i w:val="false"/>
          <w:color w:val="000000"/>
          <w:sz w:val="22"/>
        </w:rPr>
        <w:t>A person who performs renovation, remodeling, or repainting of target housing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and adult occupant of each dwelling unit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and known adult occupant of each dwelling unit where renovation, remodeling, or repainting will be performed affirming receipt of the pamphlet prior to the start of renovation, remodeling, or repainting and are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and occupant’s names and the address of the residential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and date of signature, of the owner and occupant below the statement from paragraph </w:t>
      </w:r>
      <w:hyperlink r:id="rId9">
        <w:r>
          <w:rPr>
            <w:rStyle w:val="Hyperlink"/>
            <w:rFonts w:ascii="Times New Roman" w:hAnsi="Times New Roman"/>
            <w:b w:val="false"/>
            <w:i w:val="false"/>
            <w:color w:val="000000"/>
            <w:sz w:val="22"/>
          </w:rPr>
          <w:t>469.3(2)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signature cannot be obtained from an adult occupant, the person must certify in writing that the pamphlet was delivered to the dwelling and that a written acknowledgment could not be obtained from an adult occupant. Such certification must include the address of the unit to be remodeled, renovated, or repainted; the date and method of delivery of the pamphlet; the name of the person delivering the pamphlet; the reason for lack of acknowledgment (e.g., occupant refuses to sign, no adult occupant available); and a dated signature of the person conducting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acknowledgment from subrule </w:t>
      </w:r>
      <w:hyperlink r:id="rId1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may be included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469.3(4)</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469.3(5)</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481—469.4</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multifamily housing. </w:t>
      </w:r>
      <w:r>
        <w:rPr>
          <w:rFonts w:ascii="Times New Roman" w:hAnsi="Times New Roman"/>
          <w:b w:val="false"/>
          <w:i w:val="false"/>
          <w:color w:val="000000"/>
          <w:sz w:val="22"/>
        </w:rPr>
        <w:t>A person who performs renovation, remodeling, or repainting of common areas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multifamily target housing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multifamily target housing where renovation, remodeling, or repainting will be performed affirming that the owner has received the pamphlet prior to the start of renovation, remodeling, or repainting and is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name and the address of the multifamily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acknowledgment from subrule </w:t>
      </w:r>
      <w:hyperlink r:id="rId11">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469.4(4)</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occupant of the multifamily housing, in writing, of the intended remodeling, repainting, or renovation, and make a pamphlet as described in subrule </w:t>
      </w:r>
      <w:hyperlink r:id="rId1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expected starting and ending dates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469.4(5)</w:t>
      </w:r>
      <w:r>
        <w:rPr>
          <w:rFonts w:ascii="Times New Roman" w:hAnsi="Times New Roman"/>
          <w:b w:val="false"/>
          <w:i w:val="false"/>
          <w:color w:val="000000"/>
          <w:sz w:val="22"/>
        </w:rPr>
        <w:t> </w:t>
      </w:r>
      <w:r>
        <w:rPr>
          <w:rFonts w:ascii="Times New Roman" w:hAnsi="Times New Roman"/>
          <w:b w:val="false"/>
          <w:i w:val="false"/>
          <w:color w:val="000000"/>
          <w:sz w:val="22"/>
        </w:rPr>
        <w:t>These activities may be conducted by the owner on behalf of the person planning to perform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469.4(6)</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sign, and date a statement describing the steps performed to notify all occupants of the intended renovation, remodeling, or repainting, and to provide a pamphlet as described in subrule </w:t>
      </w:r>
      <w:hyperlink r:id="rId14">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upon request. Regardless of who performs the notification activities in this rule, the person planning to conduct the renovation, remodeling, or repainting is responsible for ensuring compliance will be liable for any failure to comply with the notification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469.4(7)</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5">
        <w:r>
          <w:rPr>
            <w:rStyle w:val="Hyperlink"/>
            <w:rFonts w:ascii="Times New Roman" w:hAnsi="Times New Roman"/>
            <w:b w:val="false"/>
            <w:i w:val="false"/>
            <w:color w:val="000000"/>
            <w:sz w:val="22"/>
          </w:rPr>
          <w:t>469.3(4)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469.3(5)</w:t>
        </w:r>
      </w:hyperlink>
      <w:r>
        <w:rPr>
          <w:rFonts w:ascii="Times New Roman" w:hAnsi="Times New Roman"/>
          <w:b w:val="false"/>
          <w:i w:val="false"/>
          <w:color w:val="000000"/>
          <w:sz w:val="22"/>
        </w:rPr>
        <w:t xml:space="preserve"> are applicable as if set forth herein.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481—469.5</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target housing. </w:t>
      </w:r>
      <w:r>
        <w:rPr>
          <w:rFonts w:ascii="Times New Roman" w:hAnsi="Times New Roman"/>
          <w:b w:val="false"/>
          <w:i w:val="false"/>
          <w:color w:val="000000"/>
          <w:sz w:val="22"/>
        </w:rPr>
        <w:t>A person who performs emergency renovation, remodeling, or repainting of target housing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pamphlet as described in subrule </w:t>
      </w:r>
      <w:hyperlink r:id="rId1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the owner of the target housing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owner and occupant of the target housing, in writing, of the remodeling, repainting, or renovation, and make a pamphlet as described in subrule </w:t>
      </w:r>
      <w:hyperlink r:id="rId18">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owner and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9">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activities may be conducted by the owner on behalf of the person performing the renovation, remodeling, or repainting. The person planning to perform the renovation, remodeling, or repainting must prepare, sign, and date a statement describing the steps performed to notify all occupants of the intended renovation, remodeling, or repainting and, upon request, provide a pamphlet as described in subrule </w:t>
      </w:r>
      <w:hyperlink r:id="rId2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Regardless of who performs the notification activities in this rule, the person conducting the renovation, remodeling, or repainting is responsible for ensuring compliance with this rule and will be liable for any failure to comply with the notification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481—469.6</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in target housing. </w:t>
      </w:r>
      <w:r>
        <w:rPr>
          <w:rFonts w:ascii="Times New Roman" w:hAnsi="Times New Roman"/>
          <w:b w:val="false"/>
          <w:i w:val="false"/>
          <w:color w:val="000000"/>
          <w:sz w:val="22"/>
        </w:rPr>
        <w:t xml:space="preserve">When an adult occupant is unavailable for signature or refuses to sign the acknowledgment of receipt of the pamphlet, the person conducting the renovation, remodeling, or repainting is permitted by subrule </w:t>
      </w:r>
      <w:hyperlink r:id="rId21">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In addition to subrule </w:t>
      </w:r>
      <w:hyperlink r:id="rId2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469.6(1)</w:t>
      </w:r>
      <w:r>
        <w:rPr>
          <w:rFonts w:ascii="Times New Roman" w:hAnsi="Times New Roman"/>
          <w:b w:val="false"/>
          <w:i w:val="false"/>
          <w:color w:val="000000"/>
          <w:sz w:val="22"/>
        </w:rPr>
        <w:t> </w:t>
      </w:r>
      <w:r>
        <w:rPr>
          <w:rFonts w:ascii="Times New Roman" w:hAnsi="Times New Roman"/>
          <w:b w:val="false"/>
          <w:i w:val="false"/>
          <w:color w:val="000000"/>
          <w:sz w:val="22"/>
        </w:rPr>
        <w:t>If an adult occupant is unavailable for signature, the certification shall contain the printed name and dated signature of the person conducting the renovation, remodeling, or repainting, the address of the unit, and the attempted delivery dates and times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an adult occupant was unavailable to sign the acknowledgment. I further certify that I have left a copy of the pamphlet at the unit with the occupant.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469.6(2)</w:t>
      </w:r>
      <w:r>
        <w:rPr>
          <w:rFonts w:ascii="Times New Roman" w:hAnsi="Times New Roman"/>
          <w:b w:val="false"/>
          <w:i w:val="false"/>
          <w:color w:val="000000"/>
          <w:sz w:val="22"/>
        </w:rPr>
        <w:t> </w:t>
      </w:r>
      <w:r>
        <w:rPr>
          <w:rFonts w:ascii="Times New Roman" w:hAnsi="Times New Roman"/>
          <w:b w:val="false"/>
          <w:i w:val="false"/>
          <w:color w:val="000000"/>
          <w:sz w:val="22"/>
        </w:rPr>
        <w:t>If the occupant refuses to sign the acknowledgment, the certification shall contain the printed name and dated signature of the person conducting the renovation, remodeling, or repainting, the address of the unit, the attempted delivery dates and times, and the location where the pamphlet was left at the unit (e.g., taped to the door, slipped under the door)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the occupant refused to sign the acknowledgment. I further certify that I have left a copy of the pamphlet at the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481—469.7</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child-occupied facilities. </w:t>
      </w:r>
      <w:r>
        <w:rPr>
          <w:rFonts w:ascii="Times New Roman" w:hAnsi="Times New Roman"/>
          <w:b w:val="false"/>
          <w:i w:val="false"/>
          <w:color w:val="000000"/>
          <w:sz w:val="22"/>
        </w:rPr>
        <w:t>A person who performs renovation, remodeling, or repainting of child-occupied facilities for compensation, except for emergency renovation, remodeling, or repainting of child-occupied facilities, and except for minor repair and maintenance activities that disrupt less than 1.0 square feet of painted surface, will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building where renovation, remodeling, or repainting will be performed affirming that the owner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owner’s name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owner, the person will certify in writing that the pamphlet has been delivered to the building and that a written acknowledgment could not be obtained from an owner. Such certification will include the address of the building to be remodeled, renovated, or repainted, the date and method of delivery of the pamphlet, the name of the person delivering the pamphlet, the reason for lack of acknowledgment (e.g., owner refuses to sign, owner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owner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owners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469.7(5)</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provide the pamphlet entitled Lead Poisoning: How to Protect Iowa Families or the federal pamphlet, Renovate Right, to the operator of the child-occupied facility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469.7(6)</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obtain a signed, dated acknowledgment from the operator of the child-occupied facility where renovation, remodeling, or repainting will be performed affirming that the operator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name of the operator of the child-occupied facility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operator of the child-occupied facility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operator of the child-occupied facility, the person will certify in writing that the pamphlet has been delivered to the building and that a written acknowledgment could not be obtained from the operator of the child-occupied facility. Such certification will include the address of the building to be remodeled, renovated, or repainted, the date and method of delivery of the pamphlet, the name of the person delivering the pamphlet, the reason for lack of acknowledgment (e.g., operator of the child-occupied facility refuses to sign, operator of the child-occupied facility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469.7(7)</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operator of the child-occupied facility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469.7(8)</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operator of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469.7(9)</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pamphlet and information will be provided no more than 60 days prior to commencing the work.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3">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4">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469.7(11)</w:t>
      </w:r>
      <w:r>
        <w:rPr>
          <w:rFonts w:ascii="Times New Roman" w:hAnsi="Times New Roman"/>
          <w:b w:val="false"/>
          <w:i w:val="false"/>
          <w:color w:val="000000"/>
          <w:sz w:val="22"/>
        </w:rPr>
        <w:t> </w:t>
      </w:r>
      <w:r>
        <w:rPr>
          <w:rFonts w:ascii="Times New Roman" w:hAnsi="Times New Roman"/>
          <w:b w:val="false"/>
          <w:i w:val="false"/>
          <w:color w:val="000000"/>
          <w:sz w:val="22"/>
        </w:rPr>
        <w:t>The person conducting the renovation, remodeling, or repainting will prepare, sign, and date a statement describing the steps performed to notify all parents and guardians of the intended renovation, remodeling, or repainting and to provide the pamphlet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469.7(12)</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revised information on the ongoing or planned activities to the parents and guardians of children frequenting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481—469.8</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child-occupied facilities. </w:t>
      </w:r>
      <w:r>
        <w:rPr>
          <w:rFonts w:ascii="Times New Roman" w:hAnsi="Times New Roman"/>
          <w:b w:val="false"/>
          <w:i w:val="false"/>
          <w:color w:val="000000"/>
          <w:sz w:val="22"/>
        </w:rPr>
        <w:t>A person who performs emergency renovation, remodeling, or repainting of child-occupied facilities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if different, the operator of the child-occupied facility, in writing, of the remodeling, repainting, or renovation, and make the pamphlet, Lead Poisoning: How to Protect Iowa Families, or the federal pamphlet, Renovate Right, available upon request. At a minimum, this notification will be accomplished by distributing written notice to each owner and, if different, operator of the child-occupied facility. The notice will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each owner and, if different, the operator of the child-occupied facility can obtain the pamphlet entitled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469.8(3)</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or guardians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5">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6">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481—469.9</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for child-occupied facilities. </w:t>
      </w:r>
      <w:r>
        <w:rPr>
          <w:rFonts w:ascii="Times New Roman" w:hAnsi="Times New Roman"/>
          <w:b w:val="false"/>
          <w:i w:val="false"/>
          <w:color w:val="000000"/>
          <w:sz w:val="22"/>
        </w:rPr>
        <w:t xml:space="preserve">When the owner and, if different, operator of a child-occupied facility are unavailable for signature or refuse to sign the acknowledgment of receipt of the pamphlet, the person conducting the renovation, remodeling, or repainting is permitted by subrule </w:t>
      </w:r>
      <w:hyperlink r:id="rId2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The certification will include the address of the child-occupied facility undergoing renovation, remodeling, or repainting, the date and method of delivery of the pamphlet, name of the person delivering the pamphlet, reason for lack of acknowledgment (e.g., owner and, if different, operator refuse to sign), the signature of the individual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of the child-occupied facility are unavailable for signature,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of the child-occupied facility was unavailable to sign the acknowledgment. I further certify that I have left a copy of the pamphlet at the child-occupied facility with the owner and, if different,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refuse to sign the acknowledgment,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refused to sign the acknowledgment. I further certify that I have left a copy of the pamphlet at the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the location where the pamphlet was left at the child-occupied facility (e.g., taped to the door, slipped under the door), and the date of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481—469.10</w:t>
      </w:r>
      <w:r>
        <w:rPr>
          <w:rFonts w:ascii="Times New Roman" w:hAnsi="Times New Roman"/>
          <w:b/>
          <w:i w:val="false"/>
          <w:color w:val="000000"/>
          <w:sz w:val="22"/>
        </w:rPr>
        <w:t xml:space="preserve">(10A) </w:t>
      </w:r>
      <w:r>
        <w:rPr>
          <w:rFonts w:ascii="Times New Roman" w:hAnsi="Times New Roman"/>
          <w:b/>
          <w:i w:val="false"/>
          <w:color w:val="000000"/>
          <w:sz w:val="22"/>
        </w:rPr>
        <w:t xml:space="preserve">Subcontracts. </w:t>
      </w:r>
      <w:r>
        <w:rPr>
          <w:rFonts w:ascii="Times New Roman" w:hAnsi="Times New Roman"/>
          <w:b w:val="false"/>
          <w:i w:val="false"/>
          <w:color w:val="000000"/>
          <w:sz w:val="22"/>
        </w:rPr>
        <w:t xml:space="preserve">In cases where renovation, remodeling, or repainting activities involve subcontracts, it is the responsibility of the person receiving the compensation from the property owner, or other party on behalf of the property owner, to provide the notification(s) described in rules </w:t>
      </w:r>
      <w:hyperlink r:id="rId28">
        <w:r>
          <w:rPr>
            <w:rStyle w:val="Hyperlink"/>
            <w:rFonts w:ascii="Times New Roman" w:hAnsi="Times New Roman"/>
            <w:b w:val="false"/>
            <w:i w:val="false"/>
            <w:color w:val="000000"/>
            <w:sz w:val="22"/>
          </w:rPr>
          <w:t>481—469.3</w:t>
        </w:r>
      </w:hyperlink>
      <w:r>
        <w:rPr>
          <w:rFonts w:ascii="Times New Roman" w:hAnsi="Times New Roman"/>
          <w:b w:val="false"/>
          <w:i w:val="false"/>
          <w:color w:val="000000"/>
          <w:sz w:val="22"/>
        </w:rPr>
        <w:t xml:space="preserve">(10A), </w:t>
      </w:r>
      <w:hyperlink r:id="rId29">
        <w:r>
          <w:rPr>
            <w:rStyle w:val="Hyperlink"/>
            <w:rFonts w:ascii="Times New Roman" w:hAnsi="Times New Roman"/>
            <w:b w:val="false"/>
            <w:i w:val="false"/>
            <w:color w:val="000000"/>
            <w:sz w:val="22"/>
          </w:rPr>
          <w:t>481—469.4</w:t>
        </w:r>
      </w:hyperlink>
      <w:r>
        <w:rPr>
          <w:rFonts w:ascii="Times New Roman" w:hAnsi="Times New Roman"/>
          <w:b w:val="false"/>
          <w:i w:val="false"/>
          <w:color w:val="000000"/>
          <w:sz w:val="22"/>
        </w:rPr>
        <w:t xml:space="preserve">(10A), </w:t>
      </w:r>
      <w:hyperlink r:id="rId30">
        <w:r>
          <w:rPr>
            <w:rStyle w:val="Hyperlink"/>
            <w:rFonts w:ascii="Times New Roman" w:hAnsi="Times New Roman"/>
            <w:b w:val="false"/>
            <w:i w:val="false"/>
            <w:color w:val="000000"/>
            <w:sz w:val="22"/>
          </w:rPr>
          <w:t>481—469.5</w:t>
        </w:r>
      </w:hyperlink>
      <w:r>
        <w:rPr>
          <w:rFonts w:ascii="Times New Roman" w:hAnsi="Times New Roman"/>
          <w:b w:val="false"/>
          <w:i w:val="false"/>
          <w:color w:val="000000"/>
          <w:sz w:val="22"/>
        </w:rPr>
        <w:t xml:space="preserve">(10A), and </w:t>
      </w:r>
      <w:hyperlink r:id="rId31">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 xml:space="preserve">(10A).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481—469.11</w:t>
      </w:r>
      <w:r>
        <w:rPr>
          <w:rFonts w:ascii="Times New Roman" w:hAnsi="Times New Roman"/>
          <w:b/>
          <w:i w:val="false"/>
          <w:color w:val="000000"/>
          <w:sz w:val="22"/>
        </w:rPr>
        <w:t xml:space="preserve">(10A) </w:t>
      </w:r>
      <w:r>
        <w:rPr>
          <w:rFonts w:ascii="Times New Roman" w:hAnsi="Times New Roman"/>
          <w:b/>
          <w:i w:val="false"/>
          <w:color w:val="000000"/>
          <w:sz w:val="22"/>
        </w:rPr>
        <w:t xml:space="preserve">Exemption. </w:t>
      </w:r>
      <w:r>
        <w:rPr>
          <w:rFonts w:ascii="Times New Roman" w:hAnsi="Times New Roman"/>
          <w:b w:val="false"/>
          <w:i w:val="false"/>
          <w:color w:val="000000"/>
          <w:sz w:val="22"/>
        </w:rPr>
        <w:t xml:space="preserve">Renovation, remodeling, or repainting in target housing or a child-occupied facility in which a lead inspector/risk assessor or elevated blood lead (EBL) inspector/risk assessor certified pursuant to </w:t>
      </w:r>
      <w:hyperlink r:id="rId32">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 and where the person conducting the renovation, remodeling, or repainting has obtained a copy of the written determination is exempt from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481—469.12</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Recordkeeping requirements. </w:t>
      </w:r>
      <w:r>
        <w:rPr>
          <w:rFonts w:ascii="Times New Roman" w:hAnsi="Times New Roman"/>
          <w:b w:val="false"/>
          <w:i w:val="false"/>
          <w:color w:val="000000"/>
          <w:sz w:val="22"/>
        </w:rPr>
        <w:t>A person who conducts renovation, remodeling, or repainting for compensation in target housing or a child-occupied facility shall retain records necessary to demonstrate compliance with this chapter for a minimum of three years following completion of the renovation, remodeling, or repainting,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469.12(1)</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target housing or child-occupied facility where remodeling, renovation, or repainting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469.12(2)</w:t>
      </w:r>
      <w:r>
        <w:rPr>
          <w:rFonts w:ascii="Times New Roman" w:hAnsi="Times New Roman"/>
          <w:b w:val="false"/>
          <w:i w:val="false"/>
          <w:color w:val="000000"/>
          <w:sz w:val="22"/>
        </w:rPr>
        <w:t> </w:t>
      </w:r>
      <w:r>
        <w:rPr>
          <w:rFonts w:ascii="Times New Roman" w:hAnsi="Times New Roman"/>
          <w:b w:val="false"/>
          <w:i w:val="false"/>
          <w:color w:val="000000"/>
          <w:sz w:val="22"/>
        </w:rPr>
        <w:t>A list of all known occupants of the dwelling units where renovation, remodeling, or repainting was conducted at the commencement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469.12(3)</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signed, dated acknowledgments, notifications, and notification materials required by subrules </w:t>
      </w:r>
      <w:hyperlink r:id="rId3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and rule </w:t>
      </w:r>
      <w:hyperlink r:id="rId35">
        <w:r>
          <w:rPr>
            <w:rStyle w:val="Hyperlink"/>
            <w:rFonts w:ascii="Times New Roman" w:hAnsi="Times New Roman"/>
            <w:b w:val="false"/>
            <w:i w:val="false"/>
            <w:color w:val="000000"/>
            <w:sz w:val="22"/>
          </w:rPr>
          <w:t>481—469.7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469.12(4)</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showing that a lead inspector/risk assessor or elevated blood level (EBL) inspector/risk assessor certified pursuant to </w:t>
      </w:r>
      <w:hyperlink r:id="rId36">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Certifications of attempted delivery as described in rule </w:t>
      </w:r>
      <w:hyperlink r:id="rId37">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469.12(6)</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mailing as described in subrules </w:t>
      </w:r>
      <w:hyperlink r:id="rId38">
        <w:r>
          <w:rPr>
            <w:rStyle w:val="Hyperlink"/>
            <w:rFonts w:ascii="Times New Roman" w:hAnsi="Times New Roman"/>
            <w:b w:val="false"/>
            <w:i w:val="false"/>
            <w:color w:val="000000"/>
            <w:sz w:val="22"/>
          </w:rPr>
          <w:t>469.3(3)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469.4(3)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481—469.13</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inspections. </w:t>
      </w:r>
      <w:r>
        <w:rPr>
          <w:rFonts w:ascii="Times New Roman" w:hAnsi="Times New Roman"/>
          <w:b w:val="false"/>
          <w:i w:val="false"/>
          <w:color w:val="000000"/>
          <w:sz w:val="22"/>
        </w:rPr>
        <w:t>The department may enter the place of business of a person who conducts renovation, remodeling, or repainting for the purpose of enforcing the notification required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481—469.14</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civil penalty pursuant to Iowa Code section </w:t>
      </w:r>
      <w:hyperlink r:id="rId40">
        <w:r>
          <w:rPr>
            <w:rStyle w:val="Hyperlink"/>
            <w:rFonts w:ascii="Times New Roman" w:hAnsi="Times New Roman"/>
            <w:b w:val="false"/>
            <w:i w:val="false"/>
            <w:color w:val="000000"/>
            <w:sz w:val="22"/>
          </w:rPr>
          <w:t>10A.903(2)</w:t>
        </w:r>
      </w:hyperlink>
      <w:r>
        <w:rPr>
          <w:rFonts w:ascii="Times New Roman" w:hAnsi="Times New Roman"/>
          <w:b w:val="false"/>
          <w:i w:val="false"/>
          <w:color w:val="000000"/>
          <w:sz w:val="22"/>
        </w:rPr>
        <w:t xml:space="preserve"> when it finds that a person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Failed or refused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or refused to establish, maintain, provide, copy, or permit access to records or reports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or refused to permit entry or inspection as described in subrule </w:t>
      </w:r>
      <w:hyperlink r:id="rId41">
        <w:r>
          <w:rPr>
            <w:rStyle w:val="Hyperlink"/>
            <w:rFonts w:ascii="Times New Roman" w:hAnsi="Times New Roman"/>
            <w:b w:val="false"/>
            <w:i w:val="false"/>
            <w:color w:val="000000"/>
            <w:sz w:val="22"/>
          </w:rPr>
          <w:t>469.14(1)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sent by the department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failed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may be submitted to the department using contact information as set forth in </w:t>
      </w:r>
      <w:hyperlink r:id="rId42">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The complainant should provide the name of the person who performs renovation, remodeling, or repainting for compensation in target housing or a child-occupied facility and specific details of the person’s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469.14(3)</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43">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of the date of a notice of violation or other time specified in the notice, the person charged may either pay the penalty in the amount proposed,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 If the person charged with a violation fails to answer within the time specified in paragraph </w:t>
      </w:r>
      <w:hyperlink r:id="rId44">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45">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a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a violation timely requests a contested case hearing, it will be initiated and held in accordance with 481—Chapters </w:t>
      </w:r>
      <w:hyperlink r:id="rId46">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481—469.15</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4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9">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After Notice ARC 8501B</w:t>
      </w:r>
      <w:r>
        <w:rPr>
          <w:rFonts w:ascii="Times New Roman" w:hAnsi="Times New Roman"/>
          <w:b w:val="false"/>
          <w:i w:val="false"/>
          <w:color w:val="000000"/>
          <w:sz w:val="21"/>
        </w:rPr>
        <w:t xml:space="preserve"> (Notice ARC 8355B,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5684C</w:t>
      </w:r>
      <w:r>
        <w:rPr>
          <w:rFonts w:ascii="Times New Roman" w:hAnsi="Times New Roman"/>
          <w:b w:val="false"/>
          <w:i w:val="false"/>
          <w:color w:val="000000"/>
          <w:sz w:val="21"/>
        </w:rPr>
        <w:t xml:space="preserve"> (Notice ARC 5519C,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8907C</w:t>
      </w:r>
      <w:r>
        <w:rPr>
          <w:rFonts w:ascii="Times New Roman" w:hAnsi="Times New Roman"/>
          <w:b w:val="false"/>
          <w:i w:val="false"/>
          <w:color w:val="000000"/>
          <w:sz w:val="21"/>
        </w:rPr>
        <w:t xml:space="preserve"> (Notice ARC 8671C,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903.pdf" Type="http://schemas.openxmlformats.org/officeDocument/2006/relationships/hyperlink" Id="rId5"/>
    <Relationship TargetMode="External" Target="https://www.legis.iowa.gov/docs/iac/rule/481.470.2.pdf" Type="http://schemas.openxmlformats.org/officeDocument/2006/relationships/hyperlink" Id="rId6"/>
    <Relationship TargetMode="External" Target="https://www.legis.iowa.gov/docs/iac/rule/481.470.2.pdf" Type="http://schemas.openxmlformats.org/officeDocument/2006/relationships/hyperlink" Id="rId7"/>
    <Relationship TargetMode="External" Target="https://www.legis.iowa.gov/docs/ico/chapter/10A.903.pdf" Type="http://schemas.openxmlformats.org/officeDocument/2006/relationships/hyperlink" Id="rId8"/>
    <Relationship TargetMode="External" Target="https://www.legis.iowa.gov/docs/iac/rule/481.469.3.pdf" Type="http://schemas.openxmlformats.org/officeDocument/2006/relationships/hyperlink" Id="rId9"/>
    <Relationship TargetMode="External" Target="https://www.legis.iowa.gov/docs/iac/rule/481.469.3.pdf" Type="http://schemas.openxmlformats.org/officeDocument/2006/relationships/hyperlink" Id="rId10"/>
    <Relationship TargetMode="External" Target="https://www.legis.iowa.gov/docs/iac/rule/481.469.4.pdf" Type="http://schemas.openxmlformats.org/officeDocument/2006/relationships/hyperlink" Id="rId11"/>
    <Relationship TargetMode="External" Target="https://www.legis.iowa.gov/docs/iac/rule/481.469.3.pdf" Type="http://schemas.openxmlformats.org/officeDocument/2006/relationships/hyperlink" Id="rId12"/>
    <Relationship TargetMode="External" Target="https://www.legis.iowa.gov/docs/iac/rule/481.469.3.pdf" Type="http://schemas.openxmlformats.org/officeDocument/2006/relationships/hyperlink" Id="rId13"/>
    <Relationship TargetMode="External" Target="https://www.legis.iowa.gov/docs/iac/rule/481.469.3.pdf" Type="http://schemas.openxmlformats.org/officeDocument/2006/relationships/hyperlink" Id="rId14"/>
    <Relationship TargetMode="External" Target="https://www.legis.iowa.gov/docs/iac/rule/481.469.3.pdf" Type="http://schemas.openxmlformats.org/officeDocument/2006/relationships/hyperlink" Id="rId15"/>
    <Relationship TargetMode="External" Target="https://www.legis.iowa.gov/docs/iac/rule/481.469.3.pdf" Type="http://schemas.openxmlformats.org/officeDocument/2006/relationships/hyperlink" Id="rId16"/>
    <Relationship TargetMode="External" Target="https://www.legis.iowa.gov/docs/iac/rule/481.469.3.pdf" Type="http://schemas.openxmlformats.org/officeDocument/2006/relationships/hyperlink" Id="rId17"/>
    <Relationship TargetMode="External" Target="https://www.legis.iowa.gov/docs/iac/rule/481.469.3.pdf" Type="http://schemas.openxmlformats.org/officeDocument/2006/relationships/hyperlink" Id="rId18"/>
    <Relationship TargetMode="External" Target="https://www.legis.iowa.gov/docs/iac/rule/481.469.3.pdf" Type="http://schemas.openxmlformats.org/officeDocument/2006/relationships/hyperlink" Id="rId19"/>
    <Relationship TargetMode="External" Target="https://www.legis.iowa.gov/docs/iac/rule/481.469.3.pdf" Type="http://schemas.openxmlformats.org/officeDocument/2006/relationships/hyperlink" Id="rId20"/>
    <Relationship TargetMode="External" Target="https://www.legis.iowa.gov/docs/iac/rule/481.469.3.pdf" Type="http://schemas.openxmlformats.org/officeDocument/2006/relationships/hyperlink" Id="rId21"/>
    <Relationship TargetMode="External" Target="https://www.legis.iowa.gov/docs/iac/rule/481.469.3.pdf" Type="http://schemas.openxmlformats.org/officeDocument/2006/relationships/hyperlink" Id="rId22"/>
    <Relationship TargetMode="External" Target="https://www.legis.iowa.gov/docs/iac/rule/481.469.7.pdf" Type="http://schemas.openxmlformats.org/officeDocument/2006/relationships/hyperlink" Id="rId23"/>
    <Relationship TargetMode="External" Target="https://www.legis.iowa.gov/docs/iac/rule/481.469.7.pdf" Type="http://schemas.openxmlformats.org/officeDocument/2006/relationships/hyperlink" Id="rId24"/>
    <Relationship TargetMode="External" Target="https://www.legis.iowa.gov/docs/iac/rule/481.469.8.pdf" Type="http://schemas.openxmlformats.org/officeDocument/2006/relationships/hyperlink" Id="rId25"/>
    <Relationship TargetMode="External" Target="https://www.legis.iowa.gov/docs/iac/rule/481.469.8.pdf" Type="http://schemas.openxmlformats.org/officeDocument/2006/relationships/hyperlink" Id="rId26"/>
    <Relationship TargetMode="External" Target="https://www.legis.iowa.gov/docs/iac/rule/481.469.3.pdf" Type="http://schemas.openxmlformats.org/officeDocument/2006/relationships/hyperlink" Id="rId27"/>
    <Relationship TargetMode="External" Target="https://www.legis.iowa.gov/docs/iac/rule/481.469.3.pdf" Type="http://schemas.openxmlformats.org/officeDocument/2006/relationships/hyperlink" Id="rId28"/>
    <Relationship TargetMode="External" Target="https://www.legis.iowa.gov/docs/iac/rule/481.469.4.pdf" Type="http://schemas.openxmlformats.org/officeDocument/2006/relationships/hyperlink" Id="rId29"/>
    <Relationship TargetMode="External" Target="https://www.legis.iowa.gov/docs/iac/rule/481.469.5.pdf" Type="http://schemas.openxmlformats.org/officeDocument/2006/relationships/hyperlink" Id="rId30"/>
    <Relationship TargetMode="External" Target="https://www.legis.iowa.gov/docs/iac/rule/481.469.6.pdf" Type="http://schemas.openxmlformats.org/officeDocument/2006/relationships/hyperlink" Id="rId31"/>
    <Relationship TargetMode="External" Target="https://www.legis.iowa.gov/docs/iac/chapter/481.470.pdf" Type="http://schemas.openxmlformats.org/officeDocument/2006/relationships/hyperlink" Id="rId32"/>
    <Relationship TargetMode="External" Target="https://www.legis.iowa.gov/docs/iac/rule/481.469.3.pdf" Type="http://schemas.openxmlformats.org/officeDocument/2006/relationships/hyperlink" Id="rId33"/>
    <Relationship TargetMode="External" Target="https://www.legis.iowa.gov/docs/iac/rule/481.469.4.pdf" Type="http://schemas.openxmlformats.org/officeDocument/2006/relationships/hyperlink" Id="rId34"/>
    <Relationship TargetMode="External" Target="https://www.legis.iowa.gov/docs/iac/rule/481.469.7.pdf" Type="http://schemas.openxmlformats.org/officeDocument/2006/relationships/hyperlink" Id="rId35"/>
    <Relationship TargetMode="External" Target="https://www.legis.iowa.gov/docs/iac/chapter/481.470.pdf" Type="http://schemas.openxmlformats.org/officeDocument/2006/relationships/hyperlink" Id="rId36"/>
    <Relationship TargetMode="External" Target="https://www.legis.iowa.gov/docs/iac/rule/481.469.6.pdf" Type="http://schemas.openxmlformats.org/officeDocument/2006/relationships/hyperlink" Id="rId37"/>
    <Relationship TargetMode="External" Target="https://www.legis.iowa.gov/docs/iac/rule/481.469.3.pdf" Type="http://schemas.openxmlformats.org/officeDocument/2006/relationships/hyperlink" Id="rId38"/>
    <Relationship TargetMode="External" Target="https://www.legis.iowa.gov/docs/iac/rule/481.469.4.pdf" Type="http://schemas.openxmlformats.org/officeDocument/2006/relationships/hyperlink" Id="rId39"/>
    <Relationship TargetMode="External" Target="https://www.legis.iowa.gov/docs/ico/chapter/10A.903.pdf" Type="http://schemas.openxmlformats.org/officeDocument/2006/relationships/hyperlink" Id="rId40"/>
    <Relationship TargetMode="External" Target="https://www.legis.iowa.gov/docs/iac/rule/481.469.14.pdf" Type="http://schemas.openxmlformats.org/officeDocument/2006/relationships/hyperlink" Id="rId41"/>
    <Relationship TargetMode="External" Target="https://www.legis.iowa.gov/docs/iac/chapter/481.1.pdf" Type="http://schemas.openxmlformats.org/officeDocument/2006/relationships/hyperlink" Id="rId42"/>
    <Relationship TargetMode="External" Target="https://www.legis.iowa.gov/docs/ico/chapter/10A.903.pdf" Type="http://schemas.openxmlformats.org/officeDocument/2006/relationships/hyperlink" Id="rId43"/>
    <Relationship TargetMode="External" Target="https://www.legis.iowa.gov/docs/iac/rule/481.469.14.pdf" Type="http://schemas.openxmlformats.org/officeDocument/2006/relationships/hyperlink" Id="rId44"/>
    <Relationship TargetMode="External" Target="https://www.legis.iowa.gov/docs/iac/rule/481.469.14.pdf" Type="http://schemas.openxmlformats.org/officeDocument/2006/relationships/hyperlink" Id="rId45"/>
    <Relationship TargetMode="External" Target="https://www.legis.iowa.gov/docs/iac/chapter/481.9.pdf" Type="http://schemas.openxmlformats.org/officeDocument/2006/relationships/hyperlink" Id="rId46"/>
    <Relationship TargetMode="External" Target="https://www.legis.iowa.gov/docs/iac/chapter/481.10.pdf" Type="http://schemas.openxmlformats.org/officeDocument/2006/relationships/hyperlink" Id="rId47"/>
    <Relationship TargetMode="External" Target="https://www.legis.iowa.gov/docs/iac/chapter/481.6.pdf" Type="http://schemas.openxmlformats.org/officeDocument/2006/relationships/hyperlink" Id="rId48"/>
    <Relationship TargetMode="External" Target="https://www.legis.iowa.gov/docs/ico/chapter/10A.903.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