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462</w:t>
      </w:r>
    </w:p>
    <w:p>
      <w:pPr>
        <w:spacing w:before="0" w:after="0"/>
        <w:ind w:left="120"/>
        <w:jc w:val="center"/>
      </w:pPr>
      <w:r>
        <w:rPr>
          <w:rFonts w:ascii="Times New Roman" w:hAnsi="Times New Roman"/>
          <w:b w:val="false"/>
          <w:i w:val="false"/>
          <w:color w:val="000000"/>
          <w:sz w:val="21"/>
        </w:rPr>
        <w:t xml:space="preserve">SAFETY RULES FOR AMUSEMENT RIDES, AMUSEMENT DEVICES, </w:t>
      </w:r>
      <w:r>
        <w:br/>
      </w:r>
      <w:r>
        <w:rPr>
          <w:rFonts w:ascii="Times New Roman" w:hAnsi="Times New Roman"/>
          <w:b w:val="false"/>
          <w:i w:val="false"/>
          <w:color w:val="000000"/>
          <w:sz w:val="21"/>
        </w:rPr>
        <w:t>AND CONCESSION BOOTHS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62]</w:t>
      </w:r>
    </w:p>
    <w:p>
      <w:pPr>
        <w:spacing w:before="0" w:after="0"/>
        <w:ind w:left="120"/>
        <w:jc w:val="center"/>
      </w:pPr>
      <w:r>
        <w:rPr>
          <w:rFonts w:ascii="Times New Roman" w:hAnsi="Times New Roman"/>
          <w:b w:val="false"/>
          <w:i w:val="false"/>
          <w:color w:val="000000"/>
          <w:sz w:val="14"/>
        </w:rPr>
        <w:t>[Prior to 7/9/25, see Labor Services Division[875] Ch 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481—462.1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Rule </w:t>
      </w:r>
      <w:hyperlink r:id="rId5">
        <w:r>
          <w:rPr>
            <w:rStyle w:val="Hyperlink"/>
            <w:rFonts w:ascii="Times New Roman" w:hAnsi="Times New Roman"/>
            <w:b w:val="false"/>
            <w:i w:val="false"/>
            <w:color w:val="000000"/>
            <w:sz w:val="22"/>
          </w:rPr>
          <w:t>481—462.2</w:t>
        </w:r>
      </w:hyperlink>
      <w:r>
        <w:rPr>
          <w:rFonts w:ascii="Times New Roman" w:hAnsi="Times New Roman"/>
          <w:b w:val="false"/>
          <w:i w:val="false"/>
          <w:color w:val="000000"/>
          <w:sz w:val="22"/>
        </w:rPr>
        <w:t xml:space="preserve">(88A) applies to all covered equipment. The remaining rules of this chapter apply to all covered equipment, except a bungee jump covered by </w:t>
      </w:r>
      <w:hyperlink r:id="rId6">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481—462.2</w:t>
      </w:r>
      <w:r>
        <w:rPr>
          <w:rFonts w:ascii="Times New Roman" w:hAnsi="Times New Roman"/>
          <w:b/>
          <w:i w:val="false"/>
          <w:color w:val="000000"/>
          <w:sz w:val="22"/>
        </w:rPr>
        <w:t xml:space="preserve">(88A) </w:t>
      </w:r>
      <w:r>
        <w:rPr>
          <w:rFonts w:ascii="Times New Roman" w:hAnsi="Times New Roman"/>
          <w:b/>
          <w:i w:val="false"/>
          <w:color w:val="000000"/>
          <w:sz w:val="22"/>
        </w:rPr>
        <w:t xml:space="preserve">Other codes.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462.2(1)</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481—Chapters </w:t>
      </w:r>
      <w:hyperlink r:id="rId7">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provides an exemption, waiver, or variance from any otherwise applicable regulation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fire marshal rules set forth in </w:t>
      </w:r>
      <w:hyperlink r:id="rId9">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grounds of a fair or carnival shall be designed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around covered equipment will meet or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between covered equipment and a facility for cooking will be at least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Walkways will be wide, unobstructed, and open at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Walkways through concession booth backyards and over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Intermingling of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Guy wires, braces and ropes used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not be placed in walkways or in the entrances or exits for covered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clearly marked with streamers or other devices when located adjacent to walkways.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Stakes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462.3(2)</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Adequate containers for refuse will be provided. Accumulations of trash will be removed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Entrances and exits for covered equipment will be provided with at least 5 foot-candles of light measured at grade level. No less than 10 foot-candles of light will be provided at all work levels for assembly and disassembly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462.3(4)</w:t>
      </w:r>
      <w:r>
        <w:rPr>
          <w:rFonts w:ascii="Times New Roman" w:hAnsi="Times New Roman"/>
          <w:b w:val="false"/>
          <w:i w:val="false"/>
          <w:color w:val="000000"/>
          <w:sz w:val="22"/>
        </w:rPr>
        <w:t> </w:t>
      </w:r>
      <w:r>
        <w:rPr>
          <w:rFonts w:ascii="Times New Roman" w:hAnsi="Times New Roman"/>
          <w:b w:val="false"/>
          <w:i/>
          <w:color w:val="000000"/>
          <w:sz w:val="22"/>
        </w:rPr>
        <w:t xml:space="preserve">Internal combustion engines. </w:t>
      </w:r>
      <w:r>
        <w:rPr>
          <w:rFonts w:ascii="Times New Roman" w:hAnsi="Times New Roman"/>
          <w:b w:val="false"/>
          <w:i w:val="false"/>
          <w:color w:val="000000"/>
          <w:sz w:val="22"/>
        </w:rPr>
        <w:t>Internal combustion engines will be a minimum of 5 feet from an air-supported structure and will be guarded or fenced to prevent patron exposure or access. An internal combustion engine operated in an enclosed area will be provided with fresh-air intake and an exhaust discharge flue.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462.3(5)</w:t>
      </w:r>
      <w:r>
        <w:rPr>
          <w:rFonts w:ascii="Times New Roman" w:hAnsi="Times New Roman"/>
          <w:b w:val="false"/>
          <w:i w:val="false"/>
          <w:color w:val="000000"/>
          <w:sz w:val="22"/>
        </w:rPr>
        <w:t> </w:t>
      </w:r>
      <w:r>
        <w:rPr>
          <w:rFonts w:ascii="Times New Roman" w:hAnsi="Times New Roman"/>
          <w:b w:val="false"/>
          <w:i/>
          <w:color w:val="000000"/>
          <w:sz w:val="22"/>
        </w:rPr>
        <w:t xml:space="preserve">Flammable waste and materials. </w:t>
      </w:r>
      <w:r>
        <w:rPr>
          <w:rFonts w:ascii="Times New Roman" w:hAnsi="Times New Roman"/>
          <w:b w:val="false"/>
          <w:i w:val="false"/>
          <w:color w:val="000000"/>
          <w:sz w:val="22"/>
        </w:rPr>
        <w:t>An operator will provide identified covered and labeled metal containers for flammable waste. The containers will be available to staff and attendants but will not be accessible to patrons.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462.3(6)</w:t>
      </w:r>
      <w:r>
        <w:rPr>
          <w:rFonts w:ascii="Times New Roman" w:hAnsi="Times New Roman"/>
          <w:b w:val="false"/>
          <w:i w:val="false"/>
          <w:color w:val="000000"/>
          <w:sz w:val="22"/>
        </w:rPr>
        <w:t> </w:t>
      </w:r>
      <w:r>
        <w:rPr>
          <w:rFonts w:ascii="Times New Roman" w:hAnsi="Times New Roman"/>
          <w:b w:val="false"/>
          <w:i/>
          <w:color w:val="000000"/>
          <w:sz w:val="22"/>
        </w:rPr>
        <w:t xml:space="preserve">Storage of hazardous or flammable materials. </w:t>
      </w:r>
      <w:r>
        <w:rPr>
          <w:rFonts w:ascii="Times New Roman" w:hAnsi="Times New Roman"/>
          <w:b w:val="false"/>
          <w:i w:val="false"/>
          <w:color w:val="000000"/>
          <w:sz w:val="22"/>
        </w:rPr>
        <w:t>Storage of more than 50 gallons of fuel, other flammable material, or hazardous gas is not permitted in any area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462.3(7)</w:t>
      </w:r>
      <w:r>
        <w:rPr>
          <w:rFonts w:ascii="Times New Roman" w:hAnsi="Times New Roman"/>
          <w:b w:val="false"/>
          <w:i w:val="false"/>
          <w:color w:val="000000"/>
          <w:sz w:val="22"/>
        </w:rPr>
        <w:t> </w:t>
      </w:r>
      <w:r>
        <w:rPr>
          <w:rFonts w:ascii="Times New Roman" w:hAnsi="Times New Roman"/>
          <w:b w:val="false"/>
          <w:i/>
          <w:color w:val="000000"/>
          <w:sz w:val="22"/>
        </w:rPr>
        <w:t xml:space="preserve">Walking surfaces. </w:t>
      </w:r>
      <w:r>
        <w:rPr>
          <w:rFonts w:ascii="Times New Roman" w:hAnsi="Times New Roman"/>
          <w:b w:val="false"/>
          <w:i w:val="false"/>
          <w:color w:val="000000"/>
          <w:sz w:val="22"/>
        </w:rPr>
        <w:t>Entrances and exits for covered equipment will be adequate, unobstructed, and in accordance with the manufacturer’s instructions. Hazards, such as protruding nails, splinters, holes, loose boards, debris, obstructions, and projections, are prohibited. Stairways, ramps and railings will be provided where patrons enter or exit covered equipment above or below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462.3(8)</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 xml:space="preserve">Fences or other barriers will be maintained to prevent movement. Placement of fences will be consistent with the recommendations of the manufacturer. If the manufacturer’s recommendation regarding fences is not available, fences will meet ASTM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462.3(9)</w:t>
      </w:r>
      <w:r>
        <w:rPr>
          <w:rFonts w:ascii="Times New Roman" w:hAnsi="Times New Roman"/>
          <w:b w:val="false"/>
          <w:i w:val="false"/>
          <w:color w:val="000000"/>
          <w:sz w:val="22"/>
        </w:rPr>
        <w:t> </w:t>
      </w:r>
      <w:r>
        <w:rPr>
          <w:rFonts w:ascii="Times New Roman" w:hAnsi="Times New Roman"/>
          <w:b w:val="false"/>
          <w:i/>
          <w:color w:val="000000"/>
          <w:sz w:val="22"/>
        </w:rPr>
        <w:t xml:space="preserve">Queue line. </w:t>
      </w:r>
      <w:r>
        <w:rPr>
          <w:rFonts w:ascii="Times New Roman" w:hAnsi="Times New Roman"/>
          <w:b w:val="false"/>
          <w:i w:val="false"/>
          <w:color w:val="000000"/>
          <w:sz w:val="22"/>
        </w:rPr>
        <w:t>Lines will be designed to meet or exceed manufacture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462.3(10)</w:t>
      </w:r>
      <w:r>
        <w:rPr>
          <w:rFonts w:ascii="Times New Roman" w:hAnsi="Times New Roman"/>
          <w:b w:val="false"/>
          <w:i w:val="false"/>
          <w:color w:val="000000"/>
          <w:sz w:val="22"/>
        </w:rPr>
        <w:t> </w:t>
      </w:r>
      <w:r>
        <w:rPr>
          <w:rFonts w:ascii="Times New Roman" w:hAnsi="Times New Roman"/>
          <w:b w:val="false"/>
          <w:i/>
          <w:color w:val="000000"/>
          <w:sz w:val="22"/>
        </w:rPr>
        <w:t xml:space="preserve">Setup. </w:t>
      </w:r>
      <w:r>
        <w:rPr>
          <w:rFonts w:ascii="Times New Roman" w:hAnsi="Times New Roman"/>
          <w:b w:val="false"/>
          <w:i w:val="false"/>
          <w:color w:val="000000"/>
          <w:sz w:val="22"/>
        </w:rPr>
        <w:t>Operators will follow the manufacturer’s instructions to ensure that covered equipment is level and stable. If the manufacturer’s instructions are not available, the setup will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and manufacture of covered equipment. </w:t>
      </w:r>
      <w:r>
        <w:rPr>
          <w:rFonts w:ascii="Times New Roman" w:hAnsi="Times New Roman"/>
          <w:b w:val="false"/>
          <w:i w:val="false"/>
          <w:color w:val="000000"/>
          <w:sz w:val="22"/>
        </w:rPr>
        <w:t xml:space="preserve">This rule sets forth requirements for the design and manufacture of all covered equipment, except a bungee jump covered by </w:t>
      </w:r>
      <w:hyperlink r:id="rId10">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462.4(1)</w:t>
      </w:r>
      <w:r>
        <w:rPr>
          <w:rFonts w:ascii="Times New Roman" w:hAnsi="Times New Roman"/>
          <w:b w:val="false"/>
          <w:i w:val="false"/>
          <w:color w:val="000000"/>
          <w:sz w:val="22"/>
        </w:rPr>
        <w:t> </w:t>
      </w:r>
      <w:r>
        <w:rPr>
          <w:rFonts w:ascii="Times New Roman" w:hAnsi="Times New Roman"/>
          <w:b w:val="false"/>
          <w:i/>
          <w:color w:val="000000"/>
          <w:sz w:val="22"/>
        </w:rPr>
        <w:t xml:space="preserve">Codes adopted by reference. </w:t>
      </w:r>
      <w:r>
        <w:rPr>
          <w:rFonts w:ascii="Times New Roman" w:hAnsi="Times New Roman"/>
          <w:b w:val="false"/>
          <w:i w:val="false"/>
          <w:color w:val="000000"/>
          <w:sz w:val="22"/>
        </w:rPr>
        <w:t>ASTM F2374-10 applies to all air-supported structures notwithstanding the definition and use of the phrase “inflatable amusement device” in ASTM F2374-10.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covered equipment. </w:t>
      </w:r>
      <w:r>
        <w:rPr>
          <w:rFonts w:ascii="Times New Roman" w:hAnsi="Times New Roman"/>
          <w:b w:val="false"/>
          <w:i w:val="false"/>
          <w:color w:val="000000"/>
          <w:sz w:val="22"/>
        </w:rPr>
        <w:t>Equipment will comply with National Electric Code, NFPA 70-2014.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Tramways. </w:t>
      </w:r>
      <w:r>
        <w:rPr>
          <w:rFonts w:ascii="Times New Roman" w:hAnsi="Times New Roman"/>
          <w:b w:val="false"/>
          <w:i w:val="false"/>
          <w:color w:val="000000"/>
          <w:sz w:val="22"/>
        </w:rPr>
        <w:t>All tramways subject to the rules of this chapter will be designed and tested in accordance with the ANSI B77.1 standard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covered equipment. </w:t>
      </w:r>
      <w:r>
        <w:rPr>
          <w:rFonts w:ascii="Times New Roman" w:hAnsi="Times New Roman"/>
          <w:b w:val="false"/>
          <w:i w:val="false"/>
          <w:color w:val="000000"/>
          <w:sz w:val="22"/>
        </w:rPr>
        <w:t>New covered equipment and covered equipment undergoing a major modification will be designed and tested in accordance with ANSI B77.1-2011 and ANSI B77.1A-2012 and ASTM F1159-15a, F1193-14, F1957-99(2011), F2007-12, F2137-15, F2291-15, F2374-10, F2375-09, F2376-13, F2460-11, F2959-14, and F2960-15,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Existing covered equipment. </w:t>
      </w:r>
      <w:r>
        <w:rPr>
          <w:rFonts w:ascii="Times New Roman" w:hAnsi="Times New Roman"/>
          <w:b w:val="false"/>
          <w:i w:val="false"/>
          <w:color w:val="000000"/>
          <w:sz w:val="22"/>
        </w:rPr>
        <w:t xml:space="preserve">Covered equipment manufactured before July 1, 2016, must comply with the applicable design criteria of subrule </w:t>
      </w:r>
      <w:hyperlink r:id="rId11">
        <w:r>
          <w:rPr>
            <w:rStyle w:val="Hyperlink"/>
            <w:rFonts w:ascii="Times New Roman" w:hAnsi="Times New Roman"/>
            <w:b w:val="false"/>
            <w:i w:val="false"/>
            <w:color w:val="000000"/>
            <w:sz w:val="22"/>
          </w:rPr>
          <w:t>462.4(2)</w:t>
        </w:r>
      </w:hyperlink>
      <w:r>
        <w:rPr>
          <w:rFonts w:ascii="Times New Roman" w:hAnsi="Times New Roman"/>
          <w:b w:val="false"/>
          <w:i w:val="false"/>
          <w:color w:val="000000"/>
          <w:sz w:val="22"/>
        </w:rPr>
        <w:t xml:space="preserve"> through July 1, 2021. After July 1, 2021, covered equipment, except tramways, will meet the criteria for service-proven equipment set forth in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462.4(2)</w:t>
      </w:r>
      <w:r>
        <w:rPr>
          <w:rFonts w:ascii="Times New Roman" w:hAnsi="Times New Roman"/>
          <w:b w:val="false"/>
          <w:i w:val="false"/>
          <w:color w:val="000000"/>
          <w:sz w:val="22"/>
        </w:rPr>
        <w:t> </w:t>
      </w:r>
      <w:r>
        <w:rPr>
          <w:rFonts w:ascii="Times New Roman" w:hAnsi="Times New Roman"/>
          <w:b w:val="false"/>
          <w:i/>
          <w:color w:val="000000"/>
          <w:sz w:val="22"/>
        </w:rPr>
        <w:t xml:space="preserve">Design criteria. </w:t>
      </w:r>
      <w:r>
        <w:rPr>
          <w:rFonts w:ascii="Times New Roman" w:hAnsi="Times New Roman"/>
          <w:b w:val="false"/>
          <w:i w:val="false"/>
          <w:color w:val="000000"/>
          <w:sz w:val="22"/>
        </w:rPr>
        <w:t>Structural materials and construction of covered equipment will conform to recognized engineering practices, procedures, standards and specifications. The design, materials and construction features will incorporate a safety factor of 5 or alternative safety factors recommended by the original manufacturer or by a professional engineer with credentials and experience acceptable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462.4(3)</w:t>
      </w:r>
      <w:r>
        <w:rPr>
          <w:rFonts w:ascii="Times New Roman" w:hAnsi="Times New Roman"/>
          <w:b w:val="false"/>
          <w:i w:val="false"/>
          <w:color w:val="000000"/>
          <w:sz w:val="22"/>
        </w:rPr>
        <w:t> </w:t>
      </w:r>
      <w:r>
        <w:rPr>
          <w:rFonts w:ascii="Times New Roman" w:hAnsi="Times New Roman"/>
          <w:b w:val="false"/>
          <w:i/>
          <w:color w:val="000000"/>
          <w:sz w:val="22"/>
        </w:rPr>
        <w:t xml:space="preserve">Front openings and awnings. </w:t>
      </w:r>
      <w:r>
        <w:rPr>
          <w:rFonts w:ascii="Times New Roman" w:hAnsi="Times New Roman"/>
          <w:b w:val="false"/>
          <w:i w:val="false"/>
          <w:color w:val="000000"/>
          <w:sz w:val="22"/>
        </w:rPr>
        <w:t>Front openings and awnings will be stabilized with safety latches, safety pins,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462.4(4)</w:t>
      </w:r>
      <w:r>
        <w:rPr>
          <w:rFonts w:ascii="Times New Roman" w:hAnsi="Times New Roman"/>
          <w:b w:val="false"/>
          <w:i w:val="false"/>
          <w:color w:val="000000"/>
          <w:sz w:val="22"/>
        </w:rPr>
        <w:t> </w:t>
      </w:r>
      <w:r>
        <w:rPr>
          <w:rFonts w:ascii="Times New Roman" w:hAnsi="Times New Roman"/>
          <w:b w:val="false"/>
          <w:i/>
          <w:color w:val="000000"/>
          <w:sz w:val="22"/>
        </w:rPr>
        <w:t xml:space="preserve">Shooting galleries. </w:t>
      </w:r>
      <w:r>
        <w:rPr>
          <w:rFonts w:ascii="Times New Roman" w:hAnsi="Times New Roman"/>
          <w:b w:val="false"/>
          <w:i w:val="false"/>
          <w:color w:val="000000"/>
          <w:sz w:val="22"/>
        </w:rPr>
        <w:t>A shooting gallery will use only equipment, shells, pellets, and bullets designed for shooting galleries. Means will be provided to prevent turning the weapon away from the intended target.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462.4(5)</w:t>
      </w:r>
      <w:r>
        <w:rPr>
          <w:rFonts w:ascii="Times New Roman" w:hAnsi="Times New Roman"/>
          <w:b w:val="false"/>
          <w:i w:val="false"/>
          <w:color w:val="000000"/>
          <w:sz w:val="22"/>
        </w:rPr>
        <w:t> </w:t>
      </w:r>
      <w:r>
        <w:rPr>
          <w:rFonts w:ascii="Times New Roman" w:hAnsi="Times New Roman"/>
          <w:b w:val="false"/>
          <w:i/>
          <w:color w:val="000000"/>
          <w:sz w:val="22"/>
        </w:rPr>
        <w:t xml:space="preserve">Flying objects. </w:t>
      </w:r>
      <w:r>
        <w:rPr>
          <w:rFonts w:ascii="Times New Roman" w:hAnsi="Times New Roman"/>
          <w:b w:val="false"/>
          <w:i w:val="false"/>
          <w:color w:val="000000"/>
          <w:sz w:val="22"/>
        </w:rPr>
        <w:t>Where flying objects, such as darts, balls, pellets, shot, and bullets, are a potential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Ricocheting will be prevented by absorbent wings or panels;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Absorbing walls, sandbags, or other mechanisms will be installed along the bottom, back, and sides of the booth to protect passersby.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of covered equipment—requirements. </w:t>
      </w:r>
      <w:r>
        <w:rPr>
          <w:rFonts w:ascii="Times New Roman" w:hAnsi="Times New Roman"/>
          <w:b w:val="false"/>
          <w:i w:val="false"/>
          <w:color w:val="000000"/>
          <w:sz w:val="22"/>
        </w:rPr>
        <w:t>An operator will conduct periodic inspections, repairs, tests, and maintenance as set forth in this rule and the manufacturer’s recommendations, as applicable. An operator will make a written record of all inspections, maintenance, tests, and repairs of covered equipment, and the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462.5(1)</w:t>
      </w:r>
      <w:r>
        <w:rPr>
          <w:rFonts w:ascii="Times New Roman" w:hAnsi="Times New Roman"/>
          <w:b w:val="false"/>
          <w:i w:val="false"/>
          <w:color w:val="000000"/>
          <w:sz w:val="22"/>
        </w:rPr>
        <w:t> </w:t>
      </w:r>
      <w:r>
        <w:rPr>
          <w:rFonts w:ascii="Times New Roman" w:hAnsi="Times New Roman"/>
          <w:b w:val="false"/>
          <w:i/>
          <w:color w:val="000000"/>
          <w:sz w:val="22"/>
        </w:rPr>
        <w:t xml:space="preserve">Nondestructive testing. </w:t>
      </w:r>
      <w:r>
        <w:rPr>
          <w:rFonts w:ascii="Times New Roman" w:hAnsi="Times New Roman"/>
          <w:b w:val="false"/>
          <w:i w:val="false"/>
          <w:color w:val="000000"/>
          <w:sz w:val="22"/>
        </w:rPr>
        <w:t>The operator will ensure that appropriate nondestructive testing (NDT) is conducted and that documentation is available for review. NDT will be performed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intervals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welded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visual indication of a potentially hazardous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recommended by a bulletin prepared according to ASTM F1193-14.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462.5(2)</w:t>
      </w:r>
      <w:r>
        <w:rPr>
          <w:rFonts w:ascii="Times New Roman" w:hAnsi="Times New Roman"/>
          <w:b w:val="false"/>
          <w:i w:val="false"/>
          <w:color w:val="000000"/>
          <w:sz w:val="22"/>
        </w:rPr>
        <w:t> </w:t>
      </w:r>
      <w:r>
        <w:rPr>
          <w:rFonts w:ascii="Times New Roman" w:hAnsi="Times New Roman"/>
          <w:b w:val="false"/>
          <w:i/>
          <w:color w:val="000000"/>
          <w:sz w:val="22"/>
        </w:rPr>
        <w:t xml:space="preserve">Wood components. </w:t>
      </w:r>
      <w:r>
        <w:rPr>
          <w:rFonts w:ascii="Times New Roman" w:hAnsi="Times New Roman"/>
          <w:b w:val="false"/>
          <w:i w:val="false"/>
          <w:color w:val="000000"/>
          <w:sz w:val="22"/>
        </w:rPr>
        <w:t>The operator will remove a sufficient amount of soil around piling or wood members embedded in dirt to check for deterioration. When a wood piling requires replacement, the operator will install a concrete pier. The top of the pier will be installed so that the attached wood member is not exposed to dirt or water accumulation.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Operations—requirements. </w:t>
      </w:r>
      <w:r>
        <w:rPr>
          <w:rFonts w:ascii="Times New Roman" w:hAnsi="Times New Roman"/>
          <w:b w:val="false"/>
          <w:i w:val="false"/>
          <w:color w:val="000000"/>
          <w:sz w:val="22"/>
        </w:rPr>
        <w:t>Operations conform to ANSI B77.1 and ANSI B77.1A-2012 and ASTM F770-15, F1957-99(2011), F2007-12, F2137-15, F2374-10, F2375-09, F2376-13, F2460-11, and F2959-14, as applicable. ASTM F2374-10 applies to all air-supported structures, notwithstanding the definition and use of the phrase “inflatable amusement device” in ASTM F2374-10. The director will enforce the minimum age requirements set forth below, rather than any minimum age requirement set forth in a code adopted by reference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462.6(1)</w:t>
      </w:r>
      <w:r>
        <w:rPr>
          <w:rFonts w:ascii="Times New Roman" w:hAnsi="Times New Roman"/>
          <w:b w:val="false"/>
          <w:i w:val="false"/>
          <w:color w:val="000000"/>
          <w:sz w:val="22"/>
        </w:rPr>
        <w:t> </w:t>
      </w:r>
      <w:r>
        <w:rPr>
          <w:rFonts w:ascii="Times New Roman" w:hAnsi="Times New Roman"/>
          <w:b w:val="false"/>
          <w:i/>
          <w:color w:val="000000"/>
          <w:sz w:val="22"/>
        </w:rPr>
        <w:t xml:space="preserve">Attendants. </w:t>
      </w:r>
      <w:r>
        <w:rPr>
          <w:rFonts w:ascii="Times New Roman" w:hAnsi="Times New Roman"/>
          <w:b w:val="false"/>
          <w:i w:val="false"/>
          <w:color w:val="000000"/>
          <w:sz w:val="22"/>
        </w:rPr>
        <w:t>The operator will provide a sufficient number of attendants in accordance with manufacturer specifications who will be recognizable by their uniforms. Covered equipment shall have continuous, direct supervision while in use by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attendant of a concession booth, except a shooting gallery or dart game, will be at least 14 years of age. All other attendants will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attendant will be trained according to ANSI B77.1 and ANSI B77.1A-2012 and ASTM F770-15, F2007-12, F2460-11, and F2959-14, as applicable. Training documentation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covered equipment is shut down, provision will be made to prevent unauthorized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462.6(2)</w:t>
      </w:r>
      <w:r>
        <w:rPr>
          <w:rFonts w:ascii="Times New Roman" w:hAnsi="Times New Roman"/>
          <w:b w:val="false"/>
          <w:i w:val="false"/>
          <w:color w:val="000000"/>
          <w:sz w:val="22"/>
        </w:rPr>
        <w:t> </w:t>
      </w:r>
      <w:r>
        <w:rPr>
          <w:rFonts w:ascii="Times New Roman" w:hAnsi="Times New Roman"/>
          <w:b w:val="false"/>
          <w:i/>
          <w:color w:val="000000"/>
          <w:sz w:val="22"/>
        </w:rPr>
        <w:t xml:space="preserve">Signal systems. </w:t>
      </w:r>
      <w:r>
        <w:rPr>
          <w:rFonts w:ascii="Times New Roman" w:hAnsi="Times New Roman"/>
          <w:b w:val="false"/>
          <w:i w:val="false"/>
          <w:color w:val="000000"/>
          <w:sz w:val="22"/>
        </w:rPr>
        <w:t xml:space="preserve">When an attendant does not have a clear view of the point where passengers are loaded or unloaded, signal systems will be provided and utilized for controlling, starting and stopping covered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462.6(3)</w:t>
      </w:r>
      <w:r>
        <w:rPr>
          <w:rFonts w:ascii="Times New Roman" w:hAnsi="Times New Roman"/>
          <w:b w:val="false"/>
          <w:i w:val="false"/>
          <w:color w:val="000000"/>
          <w:sz w:val="22"/>
        </w:rPr>
        <w:t> </w:t>
      </w:r>
      <w:r>
        <w:rPr>
          <w:rFonts w:ascii="Times New Roman" w:hAnsi="Times New Roman"/>
          <w:b w:val="false"/>
          <w:i/>
          <w:color w:val="000000"/>
          <w:sz w:val="22"/>
        </w:rPr>
        <w:t xml:space="preserve">Overspeeding and overloading. </w:t>
      </w:r>
      <w:r>
        <w:rPr>
          <w:rFonts w:ascii="Times New Roman" w:hAnsi="Times New Roman"/>
          <w:b w:val="false"/>
          <w:i w:val="false"/>
          <w:color w:val="000000"/>
          <w:sz w:val="22"/>
        </w:rPr>
        <w:t>An attendant will not load covered equipment beyond its rated capacity nor operate the covered equipment at a speed other than that prescribed by the design engineer or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462.6(4)</w:t>
      </w:r>
      <w:r>
        <w:rPr>
          <w:rFonts w:ascii="Times New Roman" w:hAnsi="Times New Roman"/>
          <w:b w:val="false"/>
          <w:i w:val="false"/>
          <w:color w:val="000000"/>
          <w:sz w:val="22"/>
        </w:rPr>
        <w:t> </w:t>
      </w:r>
      <w:r>
        <w:rPr>
          <w:rFonts w:ascii="Times New Roman" w:hAnsi="Times New Roman"/>
          <w:b w:val="false"/>
          <w:i/>
          <w:color w:val="000000"/>
          <w:sz w:val="22"/>
        </w:rPr>
        <w:t xml:space="preserve">Refueling. </w:t>
      </w:r>
      <w:r>
        <w:rPr>
          <w:rFonts w:ascii="Times New Roman" w:hAnsi="Times New Roman"/>
          <w:b w:val="false"/>
          <w:i w:val="false"/>
          <w:color w:val="000000"/>
          <w:sz w:val="22"/>
        </w:rPr>
        <w:t>Fuel tanks for internal combustion engines should be large enough to run without interruption during normal operating hours. Where it is impossible to provide tanks of proper capacity for a complete day’s operation, the covered equipment will be shut down and evacuated during refueling.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462.6(5)</w:t>
      </w:r>
      <w:r>
        <w:rPr>
          <w:rFonts w:ascii="Times New Roman" w:hAnsi="Times New Roman"/>
          <w:b w:val="false"/>
          <w:i w:val="false"/>
          <w:color w:val="000000"/>
          <w:sz w:val="22"/>
        </w:rPr>
        <w:t> </w:t>
      </w:r>
      <w:r>
        <w:rPr>
          <w:rFonts w:ascii="Times New Roman" w:hAnsi="Times New Roman"/>
          <w:b w:val="false"/>
          <w:i/>
          <w:color w:val="000000"/>
          <w:sz w:val="22"/>
        </w:rPr>
        <w:t xml:space="preserve">Safety stop device. </w:t>
      </w:r>
      <w:r>
        <w:rPr>
          <w:rFonts w:ascii="Times New Roman" w:hAnsi="Times New Roman"/>
          <w:b w:val="false"/>
          <w:i w:val="false"/>
          <w:color w:val="000000"/>
          <w:sz w:val="22"/>
        </w:rPr>
        <w:t>After actuation of a safety stop device, the cause of the actuation will be determined and corrected before operation of covered equipment is resumed. No person will operate covered equipment if a safety stop device has been bypassed.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481—462.7</w:t>
      </w:r>
      <w:r>
        <w:rPr>
          <w:rFonts w:ascii="Times New Roman" w:hAnsi="Times New Roman"/>
          <w:b/>
          <w:i w:val="false"/>
          <w:color w:val="000000"/>
          <w:sz w:val="22"/>
        </w:rPr>
        <w:t xml:space="preserve">(88A) </w:t>
      </w:r>
      <w:r>
        <w:rPr>
          <w:rFonts w:ascii="Times New Roman" w:hAnsi="Times New Roman"/>
          <w:b/>
          <w:i w:val="false"/>
          <w:color w:val="000000"/>
          <w:sz w:val="22"/>
        </w:rPr>
        <w:t xml:space="preserve">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462.7(1)</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 </w:t>
      </w:r>
      <w:r>
        <w:rPr>
          <w:rFonts w:ascii="Times New Roman" w:hAnsi="Times New Roman"/>
          <w:b w:val="false"/>
          <w:i w:val="false"/>
          <w:color w:val="000000"/>
          <w:sz w:val="22"/>
        </w:rPr>
        <w:t>Will meet or exceed manufacturer specifications. If manufacturer specifications are not available, the emergency procedure will meet ASTM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462.7(2)</w:t>
      </w:r>
      <w:r>
        <w:rPr>
          <w:rFonts w:ascii="Times New Roman" w:hAnsi="Times New Roman"/>
          <w:b w:val="false"/>
          <w:i w:val="false"/>
          <w:color w:val="000000"/>
          <w:sz w:val="22"/>
        </w:rPr>
        <w:t> </w:t>
      </w:r>
      <w:r>
        <w:rPr>
          <w:rFonts w:ascii="Times New Roman" w:hAnsi="Times New Roman"/>
          <w:b w:val="false"/>
          <w:i/>
          <w:color w:val="000000"/>
          <w:sz w:val="22"/>
        </w:rPr>
        <w:t xml:space="preserve">Medical and first aid. </w:t>
      </w:r>
      <w:r>
        <w:rPr>
          <w:rFonts w:ascii="Times New Roman" w:hAnsi="Times New Roman"/>
          <w:b w:val="false"/>
          <w:i w:val="false"/>
          <w:color w:val="000000"/>
          <w:sz w:val="22"/>
        </w:rPr>
        <w:t>The operator shall make available to patrons the same medical and first-aid provisions the operator is legally obligated to provide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462.7(3)</w:t>
      </w:r>
      <w:r>
        <w:rPr>
          <w:rFonts w:ascii="Times New Roman" w:hAnsi="Times New Roman"/>
          <w:b w:val="false"/>
          <w:i w:val="false"/>
          <w:color w:val="000000"/>
          <w:sz w:val="22"/>
        </w:rPr>
        <w:t> </w:t>
      </w:r>
      <w:r>
        <w:rPr>
          <w:rFonts w:ascii="Times New Roman" w:hAnsi="Times New Roman"/>
          <w:b w:val="false"/>
          <w:i/>
          <w:color w:val="000000"/>
          <w:sz w:val="22"/>
        </w:rPr>
        <w:t xml:space="preserve">Evacuation plan. </w:t>
      </w:r>
      <w:r>
        <w:rPr>
          <w:rFonts w:ascii="Times New Roman" w:hAnsi="Times New Roman"/>
          <w:b w:val="false"/>
          <w:i w:val="false"/>
          <w:color w:val="000000"/>
          <w:sz w:val="22"/>
        </w:rPr>
        <w:t>Evacuation plans shall meet or exceed manufacturer specifications. If manufacturer specifications are not available, evacuation plans shall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1/29/76—published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4/17/92—published 5/13/92, effective 4/17/92]</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8828C</w:t>
      </w:r>
      <w:r>
        <w:rPr>
          <w:rFonts w:ascii="Times New Roman" w:hAnsi="Times New Roman"/>
          <w:b w:val="false"/>
          <w:i w:val="false"/>
          <w:color w:val="000000"/>
          <w:sz w:val="21"/>
        </w:rPr>
        <w:t xml:space="preserve"> (Notice ARC 8373C,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62 and the adoption of new Chapter 62 herein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62.2.pdf" Type="http://schemas.openxmlformats.org/officeDocument/2006/relationships/hyperlink" Id="rId5"/>
    <Relationship TargetMode="External" Target="https://www.legis.iowa.gov/docs/iac/chapter/481.463.pdf" Type="http://schemas.openxmlformats.org/officeDocument/2006/relationships/hyperlink" Id="rId6"/>
    <Relationship TargetMode="External" Target="https://www.legis.iowa.gov/docs/iac/chapter/481.461.pdf" Type="http://schemas.openxmlformats.org/officeDocument/2006/relationships/hyperlink" Id="rId7"/>
    <Relationship TargetMode="External" Target="https://www.legis.iowa.gov/docs/iac/chapter/481.463.pdf" Type="http://schemas.openxmlformats.org/officeDocument/2006/relationships/hyperlink" Id="rId8"/>
    <Relationship TargetMode="External" Target="https://www.legis.iowa.gov/docs/iac/chapter/661.201.pdf" Type="http://schemas.openxmlformats.org/officeDocument/2006/relationships/hyperlink" Id="rId9"/>
    <Relationship TargetMode="External" Target="https://www.legis.iowa.gov/docs/iac/chapter/481.463.pdf" Type="http://schemas.openxmlformats.org/officeDocument/2006/relationships/hyperlink" Id="rId10"/>
    <Relationship TargetMode="External" Target="https://www.legis.iowa.gov/docs/iac/rule/481.462.4.pdf" Type="http://schemas.openxmlformats.org/officeDocument/2006/relationships/hyperlink" Id="rId11"/>
    <Relationship TargetMode="External" Target="https://www.legis.iowa.gov/docs/ico/chapter/88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