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BOILER AND PRESSURE VESSEL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380</w:t>
      </w:r>
    </w:p>
    <w:p>
      <w:pPr>
        <w:spacing w:before="0" w:after="0"/>
        <w:ind w:left="120"/>
        <w:jc w:val="center"/>
      </w:pPr>
      <w:r>
        <w:rPr>
          <w:rFonts w:ascii="Times New Roman" w:hAnsi="Times New Roman"/>
          <w:b w:val="false"/>
          <w:i w:val="false"/>
          <w:color w:val="000000"/>
          <w:sz w:val="21"/>
        </w:rPr>
        <w:t xml:space="preserve">BOILER AND PRESSURE VESSEL BOARD </w:t>
      </w:r>
      <w:r>
        <w:br/>
      </w: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7/9/25, see Labor Services Division[875] Ch 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481—380.1</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380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boiler and pressure vessel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office”</w:t>
      </w:r>
      <w:r>
        <w:rPr>
          <w:rFonts w:ascii="Times New Roman" w:hAnsi="Times New Roman"/>
          <w:b w:val="false"/>
          <w:i w:val="false"/>
          <w:color w:val="000000"/>
          <w:sz w:val="22"/>
        </w:rPr>
        <w:t>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481—380.2</w:t>
      </w:r>
      <w:r>
        <w:rPr>
          <w:rFonts w:ascii="Times New Roman" w:hAnsi="Times New Roman"/>
          <w:b/>
          <w:i w:val="false"/>
          <w:color w:val="000000"/>
          <w:sz w:val="22"/>
        </w:rPr>
        <w:t xml:space="preserve">(89)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safety and health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boiler and pressure vessel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380.2(3)</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380.2(4)</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481—380.3</w:t>
      </w:r>
      <w:r>
        <w:rPr>
          <w:rFonts w:ascii="Times New Roman" w:hAnsi="Times New Roman"/>
          <w:b/>
          <w:i w:val="false"/>
          <w:color w:val="000000"/>
          <w:sz w:val="22"/>
        </w:rPr>
        <w:t xml:space="preserve">(89) </w:t>
      </w:r>
      <w:r>
        <w:rPr>
          <w:rFonts w:ascii="Times New Roman" w:hAnsi="Times New Roman"/>
          <w:b/>
          <w:i w:val="false"/>
          <w:color w:val="000000"/>
          <w:sz w:val="22"/>
        </w:rPr>
        <w:t xml:space="preserve">Organization of 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commissioner nor the commissioner’s designee may serve as chairperson. The chairperson presides at meetings, appoints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481—380.4</w:t>
      </w:r>
      <w:r>
        <w:rPr>
          <w:rFonts w:ascii="Times New Roman" w:hAnsi="Times New Roman"/>
          <w:b/>
          <w:i w:val="false"/>
          <w:color w:val="000000"/>
          <w:sz w:val="22"/>
        </w:rPr>
        <w:t xml:space="preserve">(21,89)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are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will prepare an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481—380.5</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waivers in addition to 7—Chapter 2504.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380.5(1)</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and related materials for consideration should be sent to the Boiler and Pressure Vessel Board,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state boiler identification number of the relevant object. The required form for a petition for waiver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380.5(3)</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room where the object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is a violation of the particular rule for which the waiver was granted.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481—380.6</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director for reconsideration of the report within 30 days of the issuance of the report. Failure to seek timely reconsideration of the inspection report from the director is a waiver of all appeal rights under Iowa Code section </w:t>
      </w:r>
      <w:hyperlink r:id="rId9">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must be signed by the requesting party or a representative of that party. The required form for a petition for reconsideration is available on the board’s website.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along with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waivers of administrative rules may only be made to the board pursuant to the provisions of </w:t>
      </w:r>
      <w:hyperlink r:id="rId10">
        <w:r>
          <w:rPr>
            <w:rStyle w:val="Hyperlink"/>
            <w:rFonts w:ascii="Times New Roman" w:hAnsi="Times New Roman"/>
            <w:b w:val="false"/>
            <w:i w:val="false"/>
            <w:color w:val="000000"/>
            <w:sz w:val="22"/>
          </w:rPr>
          <w:t>481—Chapter 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is denied by the director, and the challenged inspection report will be considered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they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to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481—380.7</w:t>
      </w:r>
      <w:r>
        <w:rPr>
          <w:rFonts w:ascii="Times New Roman" w:hAnsi="Times New Roman"/>
          <w:b/>
          <w:i w:val="false"/>
          <w:color w:val="000000"/>
          <w:sz w:val="22"/>
        </w:rPr>
        <w:t xml:space="preserve">(89)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go to the Boiler and Pressure Vessel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8882C</w:t>
      </w:r>
      <w:r>
        <w:rPr>
          <w:rFonts w:ascii="Times New Roman" w:hAnsi="Times New Roman"/>
          <w:b w:val="false"/>
          <w:i w:val="false"/>
          <w:color w:val="000000"/>
          <w:sz w:val="21"/>
        </w:rPr>
        <w:t xml:space="preserve"> (Notice ARC 8364C,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Emergency ARC 0255D, IAB 5/13/26, effective 4/23/26]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80.pdf" Type="http://schemas.openxmlformats.org/officeDocument/2006/relationships/hyperlink" Id="rId5"/>
    <Relationship TargetMode="External" Target="https://www.legis.iowa.gov/docs/iac/chapter/481.395.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89.14.pdf" Type="http://schemas.openxmlformats.org/officeDocument/2006/relationships/hyperlink" Id="rId9"/>
    <Relationship TargetMode="External" Target="https://www.legis.iowa.gov/docs/iac/chapter/481.381.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89.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