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280</w:t>
      </w:r>
    </w:p>
    <w:p>
      <w:pPr>
        <w:spacing w:before="0" w:after="0"/>
        <w:ind w:left="120"/>
        <w:jc w:val="center"/>
      </w:pPr>
      <w:r>
        <w:rPr>
          <w:rFonts w:ascii="Times New Roman" w:hAnsi="Times New Roman"/>
          <w:b w:val="false"/>
          <w:i w:val="false"/>
          <w:color w:val="000000"/>
          <w:sz w:val="21"/>
        </w:rPr>
        <w:t>FIRE CONTROL ADMINISTRATION</w:t>
      </w:r>
    </w:p>
    <w:p>
      <w:pPr>
        <w:spacing w:before="0" w:after="0"/>
        <w:ind w:left="120"/>
        <w:jc w:val="center"/>
      </w:pPr>
      <w:r>
        <w:rPr>
          <w:rFonts w:ascii="Times New Roman" w:hAnsi="Times New Roman"/>
          <w:b w:val="false"/>
          <w:i w:val="false"/>
          <w:color w:val="000000"/>
          <w:sz w:val="14"/>
        </w:rPr>
        <w:t>[Prior to 11/26/25, see Public Safety Department[661] Ch 201]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481—280.1</w:t>
      </w:r>
      <w:r>
        <w:rPr>
          <w:rFonts w:ascii="Times New Roman" w:hAnsi="Times New Roman"/>
          <w:b/>
          <w:i w:val="false"/>
          <w:color w:val="000000"/>
          <w:sz w:val="22"/>
        </w:rPr>
        <w:t xml:space="preserve">(10A) </w:t>
      </w:r>
      <w:r>
        <w:rPr>
          <w:rFonts w:ascii="Times New Roman" w:hAnsi="Times New Roman"/>
          <w:b/>
          <w:i w:val="false"/>
          <w:color w:val="000000"/>
          <w:sz w:val="22"/>
        </w:rPr>
        <w:t xml:space="preserve">Fire control administration description and contact information. </w:t>
      </w:r>
      <w:r>
        <w:rPr>
          <w:rFonts w:ascii="Times New Roman" w:hAnsi="Times New Roman"/>
          <w:b w:val="false"/>
          <w:i w:val="false"/>
          <w:color w:val="000000"/>
          <w:sz w:val="22"/>
        </w:rPr>
        <w:t xml:space="preserve">Fire control is administered within the health and safety division of the department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xml:space="preserve">. The general email address for the fire safety bureau is </w:t>
      </w:r>
      <w:hyperlink r:id="rId7">
        <w:r>
          <w:rPr>
            <w:rStyle w:val="Hyperlink"/>
            <w:rFonts w:ascii="Times New Roman" w:hAnsi="Times New Roman"/>
            <w:b w:val="false"/>
            <w:i w:val="false"/>
            <w:color w:val="000000"/>
            <w:sz w:val="22"/>
            <w:u w:val="single"/>
          </w:rPr>
          <w:t>fire.inspections@dia.iowa.gov</w:t>
        </w:r>
      </w:hyperlink>
      <w:r>
        <w:rPr>
          <w:rFonts w:ascii="Times New Roman" w:hAnsi="Times New Roman"/>
          <w:b w:val="false"/>
          <w:i w:val="false"/>
          <w:color w:val="000000"/>
          <w:sz w:val="22"/>
        </w:rPr>
        <w:t xml:space="preserve">. The department will collaborate with the state fire marshal division of the department of public safety in accordance with Iowa Code chapter </w:t>
      </w:r>
      <w:hyperlink r:id="rId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9">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surgical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or portion thereof as defined in Iowa Code section </w:t>
      </w:r>
      <w:hyperlink r:id="rId10">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alarm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a portion of a combination system consisting of components and circuits arranged to monitor and annunciate the status of fire alarm or supervisory signal-initiating devices and to initiate the appropriate response to those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section </w:t>
      </w:r>
      <w:hyperlink r:id="rId11">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chapter </w:t>
      </w:r>
      <w:hyperlink r:id="rId1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section </w:t>
      </w:r>
      <w:hyperlink r:id="rId13">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 xml:space="preserve"> as an intermediate care facility for persons with an intellectual disability or intermediate care facility for persons with mental illness as both are defined in Iowa Code section </w:t>
      </w:r>
      <w:hyperlink r:id="rId1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“Multiple-station smoke alarm”</w:t>
      </w:r>
      <w:r>
        <w:rPr>
          <w:rFonts w:ascii="Times New Roman" w:hAnsi="Times New Roman"/>
          <w:b w:val="false"/>
          <w:i w:val="false"/>
          <w:color w:val="000000"/>
          <w:sz w:val="22"/>
        </w:rPr>
        <w:t> </w:t>
      </w:r>
      <w:r>
        <w:rPr>
          <w:rFonts w:ascii="Times New Roman" w:hAnsi="Times New Roman"/>
          <w:b w:val="false"/>
          <w:i w:val="false"/>
          <w:color w:val="000000"/>
          <w:sz w:val="22"/>
        </w:rPr>
        <w:t>means two or more single-station smoke alarm devices that are capable of interconnection such that actuation of one causes the appropriate alarm signal to operate in all interconnected alarms. Interconnection may occur wirelessly for residential smoke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“NFPA”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Fire Protection Association, available at: </w:t>
      </w:r>
      <w:hyperlink r:id="rId1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References to the form “NFPA xx,” where “xx” is a number, refer to the NFPA standard or pamphlet of the corresponding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“Single-station smoke alarm”</w:t>
      </w:r>
      <w:r>
        <w:rPr>
          <w:rFonts w:ascii="Times New Roman" w:hAnsi="Times New Roman"/>
          <w:b w:val="false"/>
          <w:i w:val="false"/>
          <w:color w:val="000000"/>
          <w:sz w:val="22"/>
        </w:rPr>
        <w:t> </w:t>
      </w:r>
      <w:r>
        <w:rPr>
          <w:rFonts w:ascii="Times New Roman" w:hAnsi="Times New Roman"/>
          <w:b w:val="false"/>
          <w:i w:val="false"/>
          <w:color w:val="000000"/>
          <w:sz w:val="22"/>
        </w:rPr>
        <w:t>means an assembly incorporating the detector, the control equipment and the alarm-sounding device in one unit, operated from a power supply either in the unit or obtained at the point of installation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“Smoke alarm”</w:t>
      </w:r>
      <w:r>
        <w:rPr>
          <w:rFonts w:ascii="Times New Roman" w:hAnsi="Times New Roman"/>
          <w:b w:val="false"/>
          <w:i w:val="false"/>
          <w:color w:val="000000"/>
          <w:sz w:val="22"/>
        </w:rPr>
        <w:t> </w:t>
      </w:r>
      <w:r>
        <w:rPr>
          <w:rFonts w:ascii="Times New Roman" w:hAnsi="Times New Roman"/>
          <w:b w:val="false"/>
          <w:i w:val="false"/>
          <w:color w:val="000000"/>
          <w:sz w:val="22"/>
        </w:rPr>
        <w:t>means a single- or multiple-station alarm responsive to smoke. See also “single-station smoke alarm” and “multiple-station smoke alarm.”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“Smoke detector”</w:t>
      </w:r>
      <w:r>
        <w:rPr>
          <w:rFonts w:ascii="Times New Roman" w:hAnsi="Times New Roman"/>
          <w:b w:val="false"/>
          <w:i w:val="false"/>
          <w:color w:val="000000"/>
          <w:sz w:val="22"/>
        </w:rPr>
        <w:t> </w:t>
      </w:r>
      <w:r>
        <w:rPr>
          <w:rFonts w:ascii="Times New Roman" w:hAnsi="Times New Roman"/>
          <w:b w:val="false"/>
          <w:i w:val="false"/>
          <w:color w:val="000000"/>
          <w:sz w:val="22"/>
        </w:rPr>
        <w:t>means a device that senses visible or invisible particles of combustion. Smoke detectors are typically listed under Underwriters Laboratories (UL) 268.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481—280.3</w:t>
      </w:r>
      <w:r>
        <w:rPr>
          <w:rFonts w:ascii="Times New Roman" w:hAnsi="Times New Roman"/>
          <w:b/>
          <w:i w:val="false"/>
          <w:color w:val="000000"/>
          <w:sz w:val="22"/>
        </w:rPr>
        <w:t xml:space="preserve">(10A) </w:t>
      </w:r>
      <w:r>
        <w:rPr>
          <w:rFonts w:ascii="Times New Roman" w:hAnsi="Times New Roman"/>
          <w:b/>
          <w:i w:val="false"/>
          <w:color w:val="000000"/>
          <w:sz w:val="22"/>
        </w:rPr>
        <w:t xml:space="preserve">Building plan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280.3(1)</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for initial construction or alterations, changes, additions, renovations, or remodeling of buildings requiring the approval of the director shall be submitted to the building code bureau pursuant to rule </w:t>
      </w:r>
      <w:hyperlink r:id="rId17">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except that plans related to the following entities may be submitted to a local fire or building department for approval upon a determination of compliance with the rules of the department or a local fire ordinance recognized in rule </w:t>
      </w:r>
      <w:hyperlink r:id="rId18">
        <w:r>
          <w:rPr>
            <w:rStyle w:val="Hyperlink"/>
            <w:rFonts w:ascii="Times New Roman" w:hAnsi="Times New Roman"/>
            <w:b w:val="false"/>
            <w:i w:val="false"/>
            <w:color w:val="000000"/>
            <w:sz w:val="22"/>
          </w:rPr>
          <w:t>481—280.11</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educational building or facility serving kindergarten through twelfth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college or university building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child care facility intended to serve seven or more children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correctional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gaming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approval of building construction projects is required by this chapter or requested by the submitter for other building construction projects covered by this chapter, one complete set of the final working plans and specifications shall be submitted to the building code bureau in accordance with Iowa Code chapters </w:t>
      </w:r>
      <w:hyperlink r:id="rId1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with rule </w:t>
      </w:r>
      <w:hyperlink r:id="rId21">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(Note: </w:t>
      </w:r>
      <w:hyperlink r:id="rId22">
        <w:r>
          <w:rPr>
            <w:rStyle w:val="Hyperlink"/>
            <w:rFonts w:ascii="Times New Roman" w:hAnsi="Times New Roman"/>
            <w:b w:val="false"/>
            <w:i w:val="false"/>
            <w:color w:val="000000"/>
            <w:sz w:val="22"/>
          </w:rPr>
          <w:t>481—subrule 300.4(2)</w:t>
        </w:r>
      </w:hyperlink>
      <w:r>
        <w:rPr>
          <w:rFonts w:ascii="Times New Roman" w:hAnsi="Times New Roman"/>
          <w:b w:val="false"/>
          <w:i w:val="false"/>
          <w:color w:val="000000"/>
          <w:sz w:val="22"/>
        </w:rPr>
        <w:t xml:space="preserve"> establishes fees for plan reviews that are paid to the building code bureau. These fees are not collected by the fire control bureau). Submittals will be examined, and the submitter will be notified of the findings. If the working plans and specifications comply with this chapter, an approval letter will be sent to the submitter.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280.3(3)</w:t>
      </w:r>
      <w:r>
        <w:rPr>
          <w:rFonts w:ascii="Times New Roman" w:hAnsi="Times New Roman"/>
          <w:b w:val="false"/>
          <w:i w:val="false"/>
          <w:color w:val="000000"/>
          <w:sz w:val="22"/>
        </w:rPr>
        <w:t> </w:t>
      </w:r>
      <w:r>
        <w:rPr>
          <w:rFonts w:ascii="Times New Roman" w:hAnsi="Times New Roman"/>
          <w:b w:val="false"/>
          <w:i w:val="false"/>
          <w:color w:val="000000"/>
          <w:sz w:val="22"/>
        </w:rPr>
        <w:t xml:space="preserve">Shop drawings, equipment specifications, and supporting documentation for fire alarm and sprinkler systems shall be submitted for review and approval and signed by a responsible managing employee licensed in accordance with Iowa Code chapter </w:t>
      </w:r>
      <w:hyperlink r:id="rId23">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If the system is being installed as part of a project that has been designed by an engineer or architect, the submittal shall be approved by the responsible architect or engineer prior to submittal to the department. Submittals will be examined, and the submitter will be notified of the findings. Only one copy of shop drawings, equipment specifications, and supporting documentation should be submitted. The building code bureau will send a letter of approval to the submitter in lieu of returning approved shop drawings.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280.3(4)</w:t>
      </w:r>
      <w:r>
        <w:rPr>
          <w:rFonts w:ascii="Times New Roman" w:hAnsi="Times New Roman"/>
          <w:b w:val="false"/>
          <w:i w:val="false"/>
          <w:color w:val="000000"/>
          <w:sz w:val="22"/>
        </w:rPr>
        <w:t> </w:t>
      </w:r>
      <w:r>
        <w:rPr>
          <w:rFonts w:ascii="Times New Roman" w:hAnsi="Times New Roman"/>
          <w:b w:val="false"/>
          <w:i w:val="false"/>
          <w:color w:val="000000"/>
          <w:sz w:val="22"/>
        </w:rPr>
        <w:t>No changes shall be made to the approved final working plans and specifications or shop drawings unless the changes are submitted to and approved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blueprints and specifications are not acceptable, the building code bureau will notify the submitter of the deficiencies and request that the submitter either forward changes or request a review of the blueprints and specifications with the building code bureau. If after such review the submitter disputes the findings of the plan reviewer, the submitter may request that the disputed questions be reviewed by the chief for the building code bureau and the chief of the fire prevention bureau. If the submitter disputes the findings of the chief for the building code bureau and the chief of the fire prevention bureau, the submitter may appeal by submitting a request for a contested case hearing to the department, in writing, within 30 days of receipt or service of the order in accordance with Iowa Code section </w:t>
      </w:r>
      <w:hyperlink r:id="rId24">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cases are governed by </w:t>
      </w:r>
      <w:hyperlink r:id="rId26">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(contested cases) and </w:t>
      </w:r>
      <w:hyperlink r:id="rId2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(rules of practice and procedure before the administrative hearings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for a project will schedule a preliminary meeting with the building code bureau to discuss code compliance issues early in the design development phase in accordance with </w:t>
      </w:r>
      <w:hyperlink r:id="rId28">
        <w:r>
          <w:rPr>
            <w:rStyle w:val="Hyperlink"/>
            <w:rFonts w:ascii="Times New Roman" w:hAnsi="Times New Roman"/>
            <w:b w:val="false"/>
            <w:i w:val="false"/>
            <w:color w:val="000000"/>
            <w:sz w:val="22"/>
          </w:rPr>
          <w:t>481—subrule 300.4(3)</w:t>
        </w:r>
      </w:hyperlink>
      <w:r>
        <w:rPr>
          <w:rFonts w:ascii="Times New Roman" w:hAnsi="Times New Roman"/>
          <w:b w:val="false"/>
          <w:i w:val="false"/>
          <w:color w:val="000000"/>
          <w:sz w:val="22"/>
        </w:rPr>
        <w:t>. Approval to bid the project will not be given unless all applicable issues identified on the checklist have been addressed to the satisfaction of the building code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481—280.4</w:t>
      </w:r>
      <w:r>
        <w:rPr>
          <w:rFonts w:ascii="Times New Roman" w:hAnsi="Times New Roman"/>
          <w:b/>
          <w:i w:val="false"/>
          <w:color w:val="000000"/>
          <w:sz w:val="22"/>
        </w:rPr>
        <w:t xml:space="preserve">(10A,101,101A) </w:t>
      </w:r>
      <w:r>
        <w:rPr>
          <w:rFonts w:ascii="Times New Roman" w:hAnsi="Times New Roman"/>
          <w:b/>
          <w:i w:val="false"/>
          <w:color w:val="000000"/>
          <w:sz w:val="22"/>
        </w:rPr>
        <w:t xml:space="preserve">Inspections and inspection fees. </w:t>
      </w:r>
      <w:r>
        <w:rPr>
          <w:rFonts w:ascii="Times New Roman" w:hAnsi="Times New Roman"/>
          <w:b w:val="false"/>
          <w:i w:val="false"/>
          <w:color w:val="000000"/>
          <w:sz w:val="22"/>
        </w:rPr>
        <w:t xml:space="preserve">The director, any employee of the department, or any designated subordinate or local fire department authorized by the director may enter to inspect any building or premises and the contents thereof at any reasonable time, without notice, in accordance with Iowa Code sections </w:t>
      </w:r>
      <w:hyperlink r:id="rId29">
        <w:r>
          <w:rPr>
            <w:rStyle w:val="Hyperlink"/>
            <w:rFonts w:ascii="Times New Roman" w:hAnsi="Times New Roman"/>
            <w:b w:val="false"/>
            <w:i w:val="false"/>
            <w:color w:val="000000"/>
            <w:sz w:val="22"/>
          </w:rPr>
          <w:t>10A.512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10A.514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280.4(1)</w:t>
      </w:r>
      <w:r>
        <w:rPr>
          <w:rFonts w:ascii="Times New Roman" w:hAnsi="Times New Roman"/>
          <w:b w:val="false"/>
          <w:i w:val="false"/>
          <w:color w:val="000000"/>
          <w:sz w:val="22"/>
        </w:rPr>
        <w:t> </w:t>
      </w:r>
      <w:r>
        <w:rPr>
          <w:rFonts w:ascii="Times New Roman" w:hAnsi="Times New Roman"/>
          <w:b w:val="false"/>
          <w:i w:val="false"/>
          <w:color w:val="000000"/>
          <w:sz w:val="22"/>
        </w:rPr>
        <w:t>An inspection may be of a particular system in the building, facility, or installation, or the inspection may include the entire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280.4(2)</w:t>
      </w:r>
      <w:r>
        <w:rPr>
          <w:rFonts w:ascii="Times New Roman" w:hAnsi="Times New Roman"/>
          <w:b w:val="false"/>
          <w:i w:val="false"/>
          <w:color w:val="000000"/>
          <w:sz w:val="22"/>
        </w:rPr>
        <w:t> </w:t>
      </w:r>
      <w:r>
        <w:rPr>
          <w:rFonts w:ascii="Times New Roman" w:hAnsi="Times New Roman"/>
          <w:b w:val="false"/>
          <w:i w:val="false"/>
          <w:color w:val="000000"/>
          <w:sz w:val="22"/>
        </w:rPr>
        <w:t>An inspection to evaluate compliance with the rules of the department may be conducted by the department or by a consultant as requested by the director. A consultant will have the necessary degree of training, education, or experience to examine a system within a building required to comply with the rules of the department and determine if such system or systems comply with requirements. If a consultant is engaged to conduct an inspection, the consultant may be accompanied by an employee of the department or of a local fire department while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280.4(3)</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without announcement and occur on a random basis, upon request, in response to a complaint, or to investigate a suspected fire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280.4(4)</w:t>
      </w:r>
      <w:r>
        <w:rPr>
          <w:rFonts w:ascii="Times New Roman" w:hAnsi="Times New Roman"/>
          <w:b w:val="false"/>
          <w:i w:val="false"/>
          <w:color w:val="000000"/>
          <w:sz w:val="22"/>
        </w:rPr>
        <w:t> </w:t>
      </w:r>
      <w:r>
        <w:rPr>
          <w:rFonts w:ascii="Times New Roman" w:hAnsi="Times New Roman"/>
          <w:b w:val="false"/>
          <w:i w:val="false"/>
          <w:color w:val="000000"/>
          <w:sz w:val="22"/>
        </w:rPr>
        <w:t>An owner or person in control of the building, facility, or installation will be advised of an inspection upon the inspector’s arrival, if available, but the inspection will commence in any event. The owner or a representative may accompany an inspector throughout the inspection, provided that the inspection is not delayed.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280.4(5)</w:t>
      </w:r>
      <w:r>
        <w:rPr>
          <w:rFonts w:ascii="Times New Roman" w:hAnsi="Times New Roman"/>
          <w:b w:val="false"/>
          <w:i w:val="false"/>
          <w:color w:val="000000"/>
          <w:sz w:val="22"/>
        </w:rPr>
        <w:t> </w:t>
      </w:r>
      <w:r>
        <w:rPr>
          <w:rFonts w:ascii="Times New Roman" w:hAnsi="Times New Roman"/>
          <w:b w:val="false"/>
          <w:i w:val="false"/>
          <w:color w:val="000000"/>
          <w:sz w:val="22"/>
        </w:rPr>
        <w:t>Upon completion of an inspection, the inspector may complete a written inspection order if any violations or deficiencies are discovered. The order will be signed by the employee and, if prepared by a consultant, will also be signed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280.4(6)</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inspection, if the building, facility, or installation does not comply with applicable laws or rules, the inspector will identify specific provisions with which the building, facility, or installation does not comply and will notify the owner. The owner may be ordered to correct or repair the deficiency. The owner may order the building, facility, or installation removed or demolished in lieu of correcting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or consultant signing the notice of deficiency or order will retain a copy and distribute a copy to the department or fire department having jurisdiction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allowed to comply with the order will be determined by the employee or consultant, who will consider the likelihood that a fire may occur; the possibility of personal injury or property loss; the cost and availability of materials and labor to correct, repair, remove, or demolish;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of the building, facility, or installation does not agree with the deficiency findings and order, the owner may appeal the order by submitting a request for a contested case hearing to the department in the same manner as set forth in subrule </w:t>
      </w:r>
      <w:hyperlink r:id="rId31">
        <w:r>
          <w:rPr>
            <w:rStyle w:val="Hyperlink"/>
            <w:rFonts w:ascii="Times New Roman" w:hAnsi="Times New Roman"/>
            <w:b w:val="false"/>
            <w:i w:val="false"/>
            <w:color w:val="000000"/>
            <w:sz w:val="22"/>
          </w:rPr>
          <w:t>280.3(5)</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280.4(7)</w:t>
      </w:r>
      <w:r>
        <w:rPr>
          <w:rFonts w:ascii="Times New Roman" w:hAnsi="Times New Roman"/>
          <w:b w:val="false"/>
          <w:i w:val="false"/>
          <w:color w:val="000000"/>
          <w:sz w:val="22"/>
        </w:rPr>
        <w:t> </w:t>
      </w:r>
      <w:r>
        <w:rPr>
          <w:rFonts w:ascii="Times New Roman" w:hAnsi="Times New Roman"/>
          <w:b w:val="false"/>
          <w:i w:val="false"/>
          <w:color w:val="000000"/>
          <w:sz w:val="22"/>
        </w:rPr>
        <w:t>Inspection fees are payable through the department’s website or by check or money order made payable to the department. If a certificate of occupancy is required for use of the building, facility, or installation, the certificate will not be issued until the inspection fee has been paid. When an initial inspection requiring a fee pursuant to this subrule results in a finding of a deficiency requiring reinspection, the initial reinspection will be performed without an additional fee. If the original deficiency or deficiencies have not been corrected at the time of the initial reinspection, then a fee of $125 for each additional reinspection after the initial reinspection is required until any original deficiency has been corrected. Inspection fees apply for entities licensed or seeking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(Iowa Code chapter </w:t>
      </w:r>
      <w:hyperlink r:id="rId3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health care facility (Iowa Code chapter </w:t>
      </w:r>
      <w:hyperlink r:id="rId3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$2.50 per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Elder group home (Iowa Code chapter </w:t>
      </w:r>
      <w:hyperlink r:id="rId34">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or assisted living program (Iowa Code chapter </w:t>
      </w:r>
      <w:hyperlink r:id="rId3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$10 per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services (Iowa Code chapter </w:t>
      </w:r>
      <w:hyperlink r:id="rId3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$75 per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facility (Iowa Code chapter </w:t>
      </w:r>
      <w:hyperlink r:id="rId37">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$25 per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481—280.5</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Certificates for licensure. </w:t>
      </w:r>
      <w:r>
        <w:rPr>
          <w:rFonts w:ascii="Times New Roman" w:hAnsi="Times New Roman"/>
          <w:b w:val="false"/>
          <w:i w:val="false"/>
          <w:color w:val="000000"/>
          <w:sz w:val="22"/>
        </w:rPr>
        <w:t xml:space="preserve">The department will issue a certificate approving a building, facility, or installation for occupancy upon request from an owner or owner’s agency if the building, facility, or installation comply with applicable rules and all fees have been paid. Denial of such a certificate is subject to appeal in the same manner as set forth in subrule </w:t>
      </w:r>
      <w:hyperlink r:id="rId38">
        <w:r>
          <w:rPr>
            <w:rStyle w:val="Hyperlink"/>
            <w:rFonts w:ascii="Times New Roman" w:hAnsi="Times New Roman"/>
            <w:b w:val="false"/>
            <w:i w:val="false"/>
            <w:color w:val="000000"/>
            <w:sz w:val="22"/>
          </w:rPr>
          <w:t>280.3(5)</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481—280.6</w:t>
      </w:r>
      <w:r>
        <w:rPr>
          <w:rFonts w:ascii="Times New Roman" w:hAnsi="Times New Roman"/>
          <w:b/>
          <w:i w:val="false"/>
          <w:color w:val="000000"/>
          <w:sz w:val="22"/>
        </w:rPr>
        <w:t xml:space="preserve">(10A) </w:t>
      </w:r>
      <w:r>
        <w:rPr>
          <w:rFonts w:ascii="Times New Roman" w:hAnsi="Times New Roman"/>
          <w:b/>
          <w:i w:val="false"/>
          <w:color w:val="000000"/>
          <w:sz w:val="22"/>
        </w:rPr>
        <w:t xml:space="preserve">Fire drills. </w:t>
      </w:r>
      <w:r>
        <w:rPr>
          <w:rFonts w:ascii="Times New Roman" w:hAnsi="Times New Roman"/>
          <w:b w:val="false"/>
          <w:i w:val="false"/>
          <w:color w:val="000000"/>
          <w:sz w:val="22"/>
        </w:rPr>
        <w:t xml:space="preserve">Public and private schools shall conduct fire drills in all school buildings as specified in Iowa Code section </w:t>
      </w:r>
      <w:hyperlink r:id="rId39">
        <w:r>
          <w:rPr>
            <w:rStyle w:val="Hyperlink"/>
            <w:rFonts w:ascii="Times New Roman" w:hAnsi="Times New Roman"/>
            <w:b w:val="false"/>
            <w:i w:val="false"/>
            <w:color w:val="000000"/>
            <w:sz w:val="22"/>
          </w:rPr>
          <w:t>10A.522</w:t>
        </w:r>
      </w:hyperlink>
      <w:r>
        <w:rPr>
          <w:rFonts w:ascii="Times New Roman" w:hAnsi="Times New Roman"/>
          <w:b w:val="false"/>
          <w:i w:val="false"/>
          <w:color w:val="000000"/>
          <w:sz w:val="22"/>
        </w:rPr>
        <w:t xml:space="preserve"> when school is in session.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481—280.7</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 based on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280.7(1)</w:t>
      </w:r>
      <w:r>
        <w:rPr>
          <w:rFonts w:ascii="Times New Roman" w:hAnsi="Times New Roman"/>
          <w:b w:val="false"/>
          <w:i w:val="false"/>
          <w:color w:val="000000"/>
          <w:sz w:val="22"/>
        </w:rPr>
        <w:t> </w:t>
      </w:r>
      <w:r>
        <w:rPr>
          <w:rFonts w:ascii="Times New Roman" w:hAnsi="Times New Roman"/>
          <w:b w:val="false"/>
          <w:i/>
          <w:color w:val="000000"/>
          <w:sz w:val="22"/>
        </w:rPr>
        <w:t xml:space="preserve">Request for inspection. </w:t>
      </w:r>
      <w:r>
        <w:rPr>
          <w:rFonts w:ascii="Times New Roman" w:hAnsi="Times New Roman"/>
          <w:b w:val="false"/>
          <w:i w:val="false"/>
          <w:color w:val="000000"/>
          <w:sz w:val="22"/>
        </w:rPr>
        <w:t>A person alleging a building, facility, or installation presents a significant fire hazard may submit a complaint to the department and should provide the following information,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of the building, facility, or installation and name and address of its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complainant’s name, address, and telephone number;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alleged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280.7(2)</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The department will determine whether allegations warrant an inspection. The complainant or owner of the building, facility, or installation may be advised of the determination. Inspection is likely to occur for any building, facility, or installation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want of proper repair, or by reason of age and dilapidated condition, is especially liable to fire and is so situated as to endanger other buildings, facilities, installations, property, or persons,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combustibles, explosives, or flammable materials dangerous to the safety of any buildings, premises, or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280.7(3)</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Upon completion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building, facility, or installation complies with applicable laws or rules and no deficiencies are found, the department will accordingly notify the owner and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deficiencies are found and the building, facility, or installation is within the corporate limits of a city, the department will notify the mayor and clerk of said city of the deficiencies and the need for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deficiencies are found and the building, facility, or installation is outside the corporate limits of any city, the department will specifically identify such deficiencies and prepare an order to correct or repair the deficiencies in accordance with Iowa Code section </w:t>
      </w:r>
      <w:hyperlink r:id="rId40">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The order will be mailed to or served upon the owner of the building, facility, or installation in accordance with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may be provided, as appropriate, to any occupants, lienholders, or lessees. The order is effective upon receipt or issuance and will give the owner a reasonable time to comply with its mandate(s). The department will determine what constitutes a reasonable time by considering the likelihood of fires; possibility of personal injury or property loss; cost; availability of materials and labor to correct, repair, remove or demolish the building, facility, or installation; and any other reasonable and relevant information. The order will also notify the owner that the owner may appeal the order in accordance with Iowa Code section </w:t>
      </w:r>
      <w:hyperlink r:id="rId42">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and the process described in subrule </w:t>
      </w:r>
      <w:hyperlink r:id="rId43">
        <w:r>
          <w:rPr>
            <w:rStyle w:val="Hyperlink"/>
            <w:rFonts w:ascii="Times New Roman" w:hAnsi="Times New Roman"/>
            <w:b w:val="false"/>
            <w:i w:val="false"/>
            <w:color w:val="000000"/>
            <w:sz w:val="22"/>
          </w:rPr>
          <w:t>280.3(5)</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orders may be issued in accordance with Iowa Code section </w:t>
      </w:r>
      <w:hyperlink r:id="rId44">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280.7(4)</w:t>
      </w:r>
      <w:r>
        <w:rPr>
          <w:rFonts w:ascii="Times New Roman" w:hAnsi="Times New Roman"/>
          <w:b w:val="false"/>
          <w:i w:val="false"/>
          <w:color w:val="000000"/>
          <w:sz w:val="22"/>
        </w:rPr>
        <w:t> </w:t>
      </w:r>
      <w:r>
        <w:rPr>
          <w:rFonts w:ascii="Times New Roman" w:hAnsi="Times New Roman"/>
          <w:b w:val="false"/>
          <w:i/>
          <w:color w:val="000000"/>
          <w:sz w:val="22"/>
        </w:rPr>
        <w:t xml:space="preserve">Reinspection. </w:t>
      </w:r>
      <w:r>
        <w:rPr>
          <w:rFonts w:ascii="Times New Roman" w:hAnsi="Times New Roman"/>
          <w:b w:val="false"/>
          <w:i w:val="false"/>
          <w:color w:val="000000"/>
          <w:sz w:val="22"/>
        </w:rPr>
        <w:t>If the owner of the building, facility, or installation elects not to challenge the department’s order, the department will, at the end of the period during which compliance was required, conduct another inspection of the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280.7(5)</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At the request of the department, the county attorney shall institute legal proceedings to obtain compliance or enforce penalty provisions in accordance with Iowa Code section </w:t>
      </w:r>
      <w:hyperlink r:id="rId45">
        <w:r>
          <w:rPr>
            <w:rStyle w:val="Hyperlink"/>
            <w:rFonts w:ascii="Times New Roman" w:hAnsi="Times New Roman"/>
            <w:b w:val="false"/>
            <w:i w:val="false"/>
            <w:color w:val="000000"/>
            <w:sz w:val="22"/>
          </w:rPr>
          <w:t>10A.516</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481—280.8</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following publications or indicated portions thereof are hereby adopted by reference as general fire safety requirements and apply to all occupancies other than those to which provisions specific to an occupancy explicitly exclude these provisions or any individual provision contained therein.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280.8(1)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Fire Code, 2024 edition, published by the International Code Council, available at </w:t>
      </w:r>
      <w:hyperlink r:id="rId4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with the following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103 and sections contained therein, section 104 and sections contained therein except section 104.2.3, section 105 and sections contained therein, section 106 and sections contained therein, section 107 and sections contained therein, section 108 and sections contained therein, section 109 and sections contained therein, section 110 and sections contained therein, section 111 and sections contained therein, section 112, section 113 and sections contained therein, section 114 and sections contained therein, and section 115 and sections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301.2.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Delete section 307.2.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308.1.11: </w:t>
      </w:r>
    </w:p>
    <w:p>
      <w:pPr>
        <w:spacing w:before="0" w:after="0"/>
        <w:ind w:left="120"/>
        <w:jc w:val="both"/>
      </w:pPr>
      <w:r>
        <w:rPr>
          <w:rFonts w:ascii="Times New Roman" w:hAnsi="Times New Roman"/>
          <w:b/>
          <w:i w:val="false"/>
          <w:color w:val="000000"/>
          <w:sz w:val="22"/>
        </w:rPr>
        <w:t>308.1.11 Open Flame Cooking Devices.</w:t>
      </w:r>
      <w:r>
        <w:rPr>
          <w:rFonts w:ascii="Times New Roman" w:hAnsi="Times New Roman"/>
          <w:b w:val="false"/>
          <w:i w:val="false"/>
          <w:color w:val="000000"/>
          <w:sz w:val="22"/>
        </w:rPr>
        <w:t xml:space="preserve"> Charcoal burners and ash- or coal-producing devices shall not be operated on combustible balconies or within 10 feet of combustible construction.</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and two-family dwellings.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LP-gas burners connected to one (1) 20-pound LP-gas container.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Where buildings, balconies and decks are protected by an automatic sprinkler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Delete section 315.3.3 and insert in lieu thereof the following new section:</w:t>
      </w:r>
    </w:p>
    <w:p>
      <w:pPr>
        <w:spacing w:before="0" w:after="0"/>
        <w:ind w:left="120"/>
        <w:jc w:val="both"/>
      </w:pPr>
      <w:r>
        <w:rPr>
          <w:rFonts w:ascii="Times New Roman" w:hAnsi="Times New Roman"/>
          <w:b/>
          <w:i w:val="false"/>
          <w:color w:val="000000"/>
          <w:sz w:val="22"/>
        </w:rPr>
        <w:t>315.3.3 Equipment Rooms.</w:t>
      </w:r>
      <w:r>
        <w:rPr>
          <w:rFonts w:ascii="Times New Roman" w:hAnsi="Times New Roman"/>
          <w:b w:val="false"/>
          <w:i w:val="false"/>
          <w:color w:val="000000"/>
          <w:sz w:val="22"/>
        </w:rPr>
        <w:t xml:space="preserve"> Combustible material shall not be stored in boiler rooms, mechanical rooms, or electrical equipment rooms or in fire command centers as specified in Section 508.1.5.</w:t>
      </w:r>
    </w:p>
    <w:p>
      <w:pPr>
        <w:spacing w:before="0" w:after="0"/>
        <w:ind w:left="120"/>
        <w:jc w:val="both"/>
      </w:pPr>
      <w:r>
        <w:rPr>
          <w:rFonts w:ascii="Times New Roman" w:hAnsi="Times New Roman"/>
          <w:b w:val="false"/>
          <w:i w:val="false"/>
          <w:color w:val="000000"/>
          <w:sz w:val="22"/>
        </w:rPr>
        <w:t>Exception: In sprinklered equipment rooms that have sufficient space to allow a minimum of 10 feet between all combustible storage and the heating, mechanical or electrical equipment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Delete section 405.3 and table 405.3 and insert in lieu thereof the following new section and new table:</w:t>
      </w:r>
    </w:p>
    <w:p>
      <w:pPr>
        <w:spacing w:before="0" w:after="0"/>
        <w:ind w:left="120"/>
        <w:jc w:val="both"/>
      </w:pPr>
      <w:r>
        <w:rPr>
          <w:rFonts w:ascii="Times New Roman" w:hAnsi="Times New Roman"/>
          <w:b/>
          <w:i w:val="false"/>
          <w:color w:val="000000"/>
          <w:sz w:val="22"/>
        </w:rPr>
        <w:t>405.3 Frequency.</w:t>
      </w:r>
      <w:r>
        <w:rPr>
          <w:rFonts w:ascii="Times New Roman" w:hAnsi="Times New Roman"/>
          <w:b w:val="false"/>
          <w:i w:val="false"/>
          <w:color w:val="000000"/>
          <w:sz w:val="22"/>
        </w:rPr>
        <w:t xml:space="preserve"> Required emergency evacuation drills will be held at the intervals specified in Table 405.3 or more frequently where necessary to familiarize all occupants with the drill procedure. </w:t>
      </w:r>
    </w:p>
    <w:p>
      <w:pPr>
        <w:spacing w:before="60" w:after="0"/>
        <w:ind w:left="120"/>
        <w:jc w:val="center"/>
      </w:pPr>
      <w:r>
        <w:rPr>
          <w:rFonts w:ascii="Times New Roman" w:hAnsi="Times New Roman"/>
          <w:b/>
          <w:i w:val="false"/>
          <w:color w:val="000000"/>
          <w:sz w:val="20"/>
        </w:rPr>
        <w:t>TABLE 405.3</w:t>
      </w:r>
    </w:p>
    <w:p>
      <w:pPr>
        <w:spacing w:before="60" w:after="0"/>
        <w:ind w:left="120"/>
        <w:jc w:val="center"/>
      </w:pPr>
      <w:r>
        <w:rPr>
          <w:rFonts w:ascii="Times New Roman" w:hAnsi="Times New Roman"/>
          <w:b/>
          <w:i w:val="false"/>
          <w:color w:val="000000"/>
          <w:sz w:val="20"/>
        </w:rPr>
        <w:t>FIRE AND EVACUATION DRILL FREQUENCY AND PARTICIPATION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64"/>
        <w:gridCol w:w="3463"/>
        <w:gridCol w:w="3463"/>
      </w:tblGrid>
      <w:tr>
        <w:trPr>
          <w:trHeight w:val="270"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9"/>
              </w:rPr>
              <w:t>GROUP OR OCCUPANCY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9"/>
              </w:rPr>
              <w:t>FREQUENCY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9"/>
              </w:rPr>
              <w:t>PARTICIPATION</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A</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Quarterly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Employees</w:t>
            </w:r>
          </w:p>
        </w:tc>
      </w:tr>
      <w:tr>
        <w:trPr>
          <w:trHeight w:val="300"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B</w:t>
            </w:r>
            <w:r>
              <w:rPr>
                <w:rFonts w:ascii="Times New Roman" w:hAnsi="Times New Roman"/>
                <w:b w:val="false"/>
                <w:i w:val="false"/>
                <w:color w:val="000000"/>
                <w:sz w:val="18"/>
                <w:vertAlign w:val="superscript"/>
              </w:rPr>
              <w:t>(c)</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Annually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Employees</w:t>
            </w:r>
          </w:p>
        </w:tc>
      </w:tr>
      <w:tr>
        <w:trPr>
          <w:trHeight w:val="300"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E</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See </w:t>
            </w:r>
            <w:r>
              <w:rPr>
                <w:rFonts w:ascii="Times New Roman" w:hAnsi="Times New Roman"/>
                <w:b w:val="false"/>
                <w:i w:val="false"/>
                <w:color w:val="000000"/>
                <w:sz w:val="18"/>
                <w:vertAlign w:val="superscript"/>
              </w:rPr>
              <w:t>(a)</w:t>
            </w:r>
            <w:r>
              <w:rPr>
                <w:rFonts w:ascii="Times New Roman" w:hAnsi="Times New Roman"/>
                <w:b w:val="false"/>
                <w:i w:val="false"/>
                <w:color w:val="000000"/>
                <w:sz w:val="19"/>
              </w:rPr>
              <w:t xml:space="preserve"> below</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occupants</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I</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Quarterly on each shift</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Employees</w:t>
            </w:r>
          </w:p>
        </w:tc>
      </w:tr>
      <w:tr>
        <w:trPr>
          <w:trHeight w:val="300"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I-1</w:t>
            </w:r>
            <w:r>
              <w:rPr>
                <w:rFonts w:ascii="Times New Roman" w:hAnsi="Times New Roman"/>
                <w:b w:val="false"/>
                <w:i w:val="false"/>
                <w:color w:val="000000"/>
                <w:sz w:val="18"/>
                <w:vertAlign w:val="superscript"/>
              </w:rPr>
              <w:t>(b)</w:t>
            </w:r>
            <w:r>
              <w:rPr>
                <w:rFonts w:ascii="Times New Roman" w:hAnsi="Times New Roman"/>
                <w:b w:val="false"/>
                <w:i w:val="false"/>
                <w:color w:val="000000"/>
                <w:sz w:val="19"/>
              </w:rPr>
              <w:t xml:space="preserve"> and Group R-4</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Quarterly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occupants</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R-1</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Quarterly on each shift</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Employees</w:t>
            </w:r>
          </w:p>
        </w:tc>
      </w:tr>
      <w:tr>
        <w:trPr>
          <w:trHeight w:val="300"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Group R-2</w:t>
            </w:r>
            <w:r>
              <w:rPr>
                <w:rFonts w:ascii="Times New Roman" w:hAnsi="Times New Roman"/>
                <w:b w:val="false"/>
                <w:i w:val="false"/>
                <w:color w:val="000000"/>
                <w:sz w:val="18"/>
                <w:vertAlign w:val="superscript"/>
              </w:rPr>
              <w:t>(d)</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Four annually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All occupants</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High-rise</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Annually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Employees</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 Fire and severe weather drills shall be conducted in accordance with Iowa Code section </w:t>
      </w:r>
      <w:hyperlink r:id="rId47">
        <w:r>
          <w:rPr>
            <w:rStyle w:val="Hyperlink"/>
            <w:rFonts w:ascii="Times New Roman" w:hAnsi="Times New Roman"/>
            <w:b w:val="false"/>
            <w:i w:val="false"/>
            <w:color w:val="000000"/>
            <w:sz w:val="22"/>
          </w:rPr>
          <w:t>10A.522</w:t>
        </w:r>
      </w:hyperlink>
      <w:r>
        <w:rPr>
          <w:rFonts w:ascii="Times New Roman" w:hAnsi="Times New Roman"/>
          <w:b w:val="false"/>
          <w:i w:val="false"/>
          <w:color w:val="000000"/>
          <w:sz w:val="22"/>
        </w:rPr>
        <w:t>. In severe climates, the fire code official has the authority to modify the emergency evacuation drill frequency.</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xml:space="preserve"> Fire and evacuation drills in assisted living facilities include complete evacuation of the premises in accordance with Section 405.2. Drills shall be conducted not less than six times per year on a bimonthly basis, with not less than two drills conducted during the night when residents could reasonably be expected to be sleeping. The drills may be announced in advance to the residents. Where occupants receive habilitation or rehabilitation training, fire prevention and fire safety practices shall be included as part of the training program.</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xml:space="preserve"> Group B buildings that have an occupant load of 500 or more persons or more than 100 persons above or below the lowest level of exit discharge.</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xml:space="preserve"> Applicable to Group R-2 college and university buildings in accordance with Section 408.3.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Delete section 807.5.2.1 and insert in lieu thereof the following new section:</w:t>
      </w:r>
    </w:p>
    <w:p>
      <w:pPr>
        <w:spacing w:before="0" w:after="0"/>
        <w:ind w:left="120"/>
        <w:jc w:val="both"/>
      </w:pPr>
      <w:r>
        <w:rPr>
          <w:rFonts w:ascii="Times New Roman" w:hAnsi="Times New Roman"/>
          <w:b/>
          <w:i w:val="false"/>
          <w:color w:val="000000"/>
          <w:sz w:val="22"/>
        </w:rPr>
        <w:t>807.5.2.1 Storage in corridors and lobbies.</w:t>
      </w:r>
      <w:r>
        <w:rPr>
          <w:rFonts w:ascii="Times New Roman" w:hAnsi="Times New Roman"/>
          <w:b w:val="false"/>
          <w:i w:val="false"/>
          <w:color w:val="000000"/>
          <w:sz w:val="22"/>
        </w:rPr>
        <w:t xml:space="preserve"> Clothing and personal effects will not be stored in corridors and lobbies.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Corridors protected by an approved automatic sprinkler system installed in accordance with Section 903.3.1.1.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Storage in metal lockers, provided the minimum required egress width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Delete section 903.2.8 and insert in lieu thereof the following new section:</w:t>
      </w:r>
    </w:p>
    <w:p>
      <w:pPr>
        <w:spacing w:before="0" w:after="0"/>
        <w:ind w:left="120"/>
        <w:jc w:val="both"/>
      </w:pPr>
      <w:r>
        <w:rPr>
          <w:rFonts w:ascii="Times New Roman" w:hAnsi="Times New Roman"/>
          <w:b/>
          <w:i w:val="false"/>
          <w:color w:val="000000"/>
          <w:sz w:val="22"/>
        </w:rPr>
        <w:t>903.2.8 Group R.</w:t>
      </w:r>
      <w:r>
        <w:rPr>
          <w:rFonts w:ascii="Times New Roman" w:hAnsi="Times New Roman"/>
          <w:b w:val="false"/>
          <w:i w:val="false"/>
          <w:color w:val="000000"/>
          <w:sz w:val="22"/>
        </w:rPr>
        <w:t xml:space="preserve">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as required by Section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Basements are not allowed.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i w:val="false"/>
          <w:color w:val="000000"/>
          <w:sz w:val="22"/>
        </w:rPr>
        <w:t>907.2.3 Group E.</w:t>
      </w:r>
      <w:r>
        <w:rPr>
          <w:rFonts w:ascii="Times New Roman" w:hAnsi="Times New Roman"/>
          <w:b w:val="false"/>
          <w:i w:val="false"/>
          <w:color w:val="000000"/>
          <w:sz w:val="22"/>
        </w:rPr>
        <w:t xml:space="preserve"> In the absence of a complete automatic sprinkler system, a complete automatic detection system utilizing an emergency voice/alarm communication system shall be installed throughout the entire Group E occupancy. A Group E occupancy with a complete automatic sprinkler system will be provided with a fire alarm system utilizing an emergency voice/alarm communication system in compliance with Section 907.5.2.2 and installed in accordance with Section 907.6. As a minimum, smoke detection will be provided in corridors at a maximum spacing of 30 feet on center, and heat or smoke detection will be provided in any hazardous or nonoccupied areas in all new or existing Group E occupancies.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Group E occupancies with an occupant load of less than 50.</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Manual fire alarm boxes are not required in Group E occupancies where all of the following apply:</w:t>
      </w:r>
    </w:p>
    <w:p>
      <w:pPr>
        <w:spacing w:before="0" w:after="0"/>
        <w:ind w:left="120"/>
        <w:jc w:val="both"/>
      </w:pPr>
      <w:r>
        <w:rPr>
          <w:rFonts w:ascii="Times New Roman" w:hAnsi="Times New Roman"/>
          <w:b w:val="false"/>
          <w:i w:val="false"/>
          <w:color w:val="000000"/>
          <w:sz w:val="22"/>
        </w:rPr>
        <w:t>2.1.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Interior corridors are protected by smoke detectors with alarm verification.</w:t>
      </w:r>
    </w:p>
    <w:p>
      <w:pPr>
        <w:spacing w:before="0" w:after="0"/>
        <w:ind w:left="120"/>
        <w:jc w:val="both"/>
      </w:pPr>
      <w:r>
        <w:rPr>
          <w:rFonts w:ascii="Times New Roman" w:hAnsi="Times New Roman"/>
          <w:b w:val="false"/>
          <w:i w:val="false"/>
          <w:color w:val="000000"/>
          <w:sz w:val="22"/>
        </w:rPr>
        <w:t>2.2.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Off-premises monitoring is provided.</w:t>
      </w:r>
    </w:p>
    <w:p>
      <w:pPr>
        <w:spacing w:before="0" w:after="0"/>
        <w:ind w:left="120"/>
        <w:jc w:val="both"/>
      </w:pPr>
      <w:r>
        <w:rPr>
          <w:rFonts w:ascii="Times New Roman" w:hAnsi="Times New Roman"/>
          <w:b w:val="false"/>
          <w:i w:val="false"/>
          <w:color w:val="000000"/>
          <w:sz w:val="22"/>
        </w:rPr>
        <w:t>2.5.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Manual fire alarm boxes are not required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Emergency voice/alarm communication systems meeting the requirements of Section 907.5.2.2 and installed in accordance with Section 907.6 are not required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i w:val="false"/>
          <w:color w:val="000000"/>
          <w:sz w:val="22"/>
        </w:rPr>
        <w:t>1003.8 Frost protection.</w:t>
      </w:r>
      <w:r>
        <w:rPr>
          <w:rFonts w:ascii="Times New Roman" w:hAnsi="Times New Roman"/>
          <w:b w:val="false"/>
          <w:i w:val="false"/>
          <w:color w:val="000000"/>
          <w:sz w:val="22"/>
        </w:rPr>
        <w:t xml:space="preserve"> Exterior landings at doors will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1028.6:</w:t>
      </w:r>
    </w:p>
    <w:p>
      <w:pPr>
        <w:spacing w:before="0" w:after="0"/>
        <w:ind w:left="120"/>
        <w:jc w:val="both"/>
      </w:pPr>
      <w:r>
        <w:rPr>
          <w:rFonts w:ascii="Times New Roman" w:hAnsi="Times New Roman"/>
          <w:b/>
          <w:i w:val="false"/>
          <w:color w:val="000000"/>
          <w:sz w:val="22"/>
        </w:rPr>
        <w:t>1028.6 Exit discharge pathways.</w:t>
      </w:r>
      <w:r>
        <w:rPr>
          <w:rFonts w:ascii="Times New Roman" w:hAnsi="Times New Roman"/>
          <w:b w:val="false"/>
          <w:i w:val="false"/>
          <w:color w:val="000000"/>
          <w:sz w:val="22"/>
        </w:rPr>
        <w:t xml:space="preserve"> Exit discharge pathways will be paved from all required exits of a building to a public way or parking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Delete section 1030.1.1 and insert in lieu thereof the following new section:</w:t>
      </w:r>
    </w:p>
    <w:p>
      <w:pPr>
        <w:spacing w:before="0" w:after="0"/>
        <w:ind w:left="120"/>
        <w:jc w:val="both"/>
      </w:pPr>
      <w:r>
        <w:rPr>
          <w:rFonts w:ascii="Times New Roman" w:hAnsi="Times New Roman"/>
          <w:b/>
          <w:i w:val="false"/>
          <w:color w:val="000000"/>
          <w:sz w:val="22"/>
        </w:rPr>
        <w:t>1030.1.1</w:t>
      </w:r>
      <w:r>
        <w:rPr>
          <w:rFonts w:ascii="Times New Roman" w:hAnsi="Times New Roman"/>
          <w:b w:val="false"/>
          <w:i w:val="false"/>
          <w:color w:val="000000"/>
          <w:sz w:val="22"/>
        </w:rPr>
        <w:t xml:space="preserve"> Bleachers, grandstands, and folding and telescopic seating that are not building elements will comply with ICC-300, Standard for Bleachers, Folding and Telescopic Seating, and Grandstands, 2023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i w:val="false"/>
          <w:color w:val="000000"/>
          <w:sz w:val="22"/>
        </w:rPr>
        <w:t xml:space="preserve">105.2 Yearly inspection required. </w:t>
      </w:r>
      <w:r>
        <w:rPr>
          <w:rFonts w:ascii="Times New Roman" w:hAnsi="Times New Roman"/>
          <w:b w:val="false"/>
          <w:i w:val="false"/>
          <w:color w:val="000000"/>
          <w:sz w:val="22"/>
        </w:rPr>
        <w:t>All bleachers and folding and telescopic seating installed on or after December 1, 2011, shall be inspected at least once a year in order to verify that the structure is maintained in compliance with the provisions of this standard. All folding and telescopic seating will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limitations on the identity or employment of the person conducting the inspection unless otherwise provided by law. The owner shall maintain documentation of the required annual inspections, showing the date and name of the person conducting the inspection and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Delete section 1103.5.1 Group A-2. Notwithstanding this deletion, a Group A-2 occupancy shall be equipped with an automatic sprinkler system if it was so required by another applicable section of a fire code adopted at the time of the Group A-2 occupancy’s construction. Alternative means of compliance may be submitted for consideration per section 104.2.3 of the 2024 international fire code. Alternative means must be submitted to the department’s fire safety bureau by a fire protection engineer for consideration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Delete section 1103.7.1 and insert in lieu thereof the following new section:</w:t>
      </w:r>
    </w:p>
    <w:p>
      <w:pPr>
        <w:spacing w:before="0" w:after="0"/>
        <w:ind w:left="120"/>
        <w:jc w:val="both"/>
      </w:pPr>
      <w:r>
        <w:rPr>
          <w:rFonts w:ascii="Times New Roman" w:hAnsi="Times New Roman"/>
          <w:b/>
          <w:i w:val="false"/>
          <w:color w:val="000000"/>
          <w:sz w:val="22"/>
        </w:rPr>
        <w:t>1103.7.1</w:t>
      </w:r>
      <w:r>
        <w:rPr>
          <w:rFonts w:ascii="Times New Roman" w:hAnsi="Times New Roman"/>
          <w:b w:val="false"/>
          <w:i w:val="false"/>
          <w:color w:val="000000"/>
          <w:sz w:val="22"/>
        </w:rPr>
        <w:t xml:space="preserve"> Existing Group E occupancies shall be provided with a fire alarm system utilizing an emergency voice/alarm communication system in compliance with Section 907.5.2.2 and installed in accordance with Section 907.6. As a minimum, smoke detection will be provided in corridors at a maximum spacing of 30 feet on center, and heat or smoke detection will be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building with a maximum area of 1,000 square feet that contains a single classroom and is located no closer than 50 feet from another building.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Group E occupancy with an occupant load of less than 50.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voice/alarm communication systems meeting the requirements of Section 907.5.2.2 and installed in accordance with Section 907.6 are not required in Group E occupancies with occupant loads of 100 or less, provided that the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Delete section 1103.8 and insert in lieu thereof the following new section:</w:t>
      </w:r>
    </w:p>
    <w:p>
      <w:pPr>
        <w:spacing w:before="0" w:after="0"/>
        <w:ind w:left="120"/>
        <w:jc w:val="both"/>
      </w:pPr>
      <w:r>
        <w:rPr>
          <w:rFonts w:ascii="Times New Roman" w:hAnsi="Times New Roman"/>
          <w:b/>
          <w:i w:val="false"/>
          <w:color w:val="000000"/>
          <w:sz w:val="22"/>
        </w:rPr>
        <w:t>1103.8 Single- and multiple-station smoke alarms.</w:t>
      </w:r>
      <w:r>
        <w:rPr>
          <w:rFonts w:ascii="Times New Roman" w:hAnsi="Times New Roman"/>
          <w:b w:val="false"/>
          <w:i w:val="false"/>
          <w:color w:val="000000"/>
          <w:sz w:val="22"/>
        </w:rPr>
        <w:t xml:space="preserve"> Single- and multiple-station smoke alarms shall be installed in existing Group I-1 and R occupancies in accordance with Sections 1103.8.1 through 1103.8.4.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1103.8.4:</w:t>
      </w:r>
    </w:p>
    <w:p>
      <w:pPr>
        <w:spacing w:before="0" w:after="0"/>
        <w:ind w:left="120"/>
        <w:jc w:val="both"/>
      </w:pPr>
      <w:r>
        <w:rPr>
          <w:rFonts w:ascii="Times New Roman" w:hAnsi="Times New Roman"/>
          <w:b/>
          <w:i w:val="false"/>
          <w:color w:val="000000"/>
          <w:sz w:val="22"/>
        </w:rPr>
        <w:t>1103.8.4 Smoke alarm service life.</w:t>
      </w:r>
      <w:r>
        <w:rPr>
          <w:rFonts w:ascii="Times New Roman" w:hAnsi="Times New Roman"/>
          <w:b w:val="false"/>
          <w:i w:val="false"/>
          <w:color w:val="000000"/>
          <w:sz w:val="22"/>
        </w:rPr>
        <w:t xml:space="preserve"> Single-station battery-operated smoke alarms will be replaced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chapters and sections of the International Building Code, 2024 edition, published by the International Code Council, as amended by rule </w:t>
      </w:r>
      <w:hyperlink r:id="rId48">
        <w:r>
          <w:rPr>
            <w:rStyle w:val="Hyperlink"/>
            <w:rFonts w:ascii="Times New Roman" w:hAnsi="Times New Roman"/>
            <w:b w:val="false"/>
            <w:i w:val="false"/>
            <w:color w:val="000000"/>
            <w:sz w:val="22"/>
          </w:rPr>
          <w:t>481—301.3(10A)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Chapter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Chapter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Chapter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Sections 804 and 805.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i w:val="false"/>
          <w:color w:val="000000"/>
          <w:sz w:val="16"/>
        </w:rPr>
        <w:t>ARC 0246D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481—280.9</w:t>
      </w:r>
      <w:r>
        <w:rPr>
          <w:rFonts w:ascii="Times New Roman" w:hAnsi="Times New Roman"/>
          <w:b/>
          <w:i w:val="false"/>
          <w:color w:val="000000"/>
          <w:sz w:val="22"/>
        </w:rPr>
        <w:t xml:space="preserve">(10A) </w:t>
      </w:r>
      <w:r>
        <w:rPr>
          <w:rFonts w:ascii="Times New Roman" w:hAnsi="Times New Roman"/>
          <w:b/>
          <w:i w:val="false"/>
          <w:color w:val="000000"/>
          <w:sz w:val="22"/>
        </w:rPr>
        <w:t xml:space="preserve">Electrical installations. </w:t>
      </w:r>
      <w:r>
        <w:rPr>
          <w:rFonts w:ascii="Times New Roman" w:hAnsi="Times New Roman"/>
          <w:b w:val="false"/>
          <w:i w:val="false"/>
          <w:color w:val="000000"/>
          <w:sz w:val="22"/>
        </w:rPr>
        <w:t xml:space="preserve">The provisions of the state electrical code in </w:t>
      </w:r>
      <w:hyperlink r:id="rId49">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xml:space="preserve"> are hereby adopted by reference as the requirements for electrical installations. In addition to compliance with </w:t>
      </w:r>
      <w:hyperlink r:id="rId50">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any installation of wiring and equipment will comply with requirements established by the manufacturer of the equipment serviced by the wiring.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481—280.10</w:t>
      </w:r>
      <w:r>
        <w:rPr>
          <w:rFonts w:ascii="Times New Roman" w:hAnsi="Times New Roman"/>
          <w:b/>
          <w:i w:val="false"/>
          <w:color w:val="000000"/>
          <w:sz w:val="22"/>
        </w:rPr>
        <w:t xml:space="preserve">(10A) </w:t>
      </w:r>
      <w:r>
        <w:rPr>
          <w:rFonts w:ascii="Times New Roman" w:hAnsi="Times New Roman"/>
          <w:b/>
          <w:i w:val="false"/>
          <w:color w:val="000000"/>
          <w:sz w:val="22"/>
        </w:rPr>
        <w:t xml:space="preserve">Existing buildings or structures. </w:t>
      </w:r>
      <w:r>
        <w:rPr>
          <w:rFonts w:ascii="Times New Roman" w:hAnsi="Times New Roman"/>
          <w:b w:val="false"/>
          <w:i w:val="false"/>
          <w:color w:val="000000"/>
          <w:sz w:val="22"/>
        </w:rPr>
        <w:t xml:space="preserve">Additions to any building or structure shall comply with the requirements for new construction. Additions shall comply with the height and area provisions of Chapter 5 of the International Building Code in rule </w:t>
      </w:r>
      <w:hyperlink r:id="rId51">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 xml:space="preserve">(103A). Alterations to any building or structure shall comply with the requirements of the International Existing Building Code in rule </w:t>
      </w:r>
      <w:hyperlink r:id="rId52">
        <w:r>
          <w:rPr>
            <w:rStyle w:val="Hyperlink"/>
            <w:rFonts w:ascii="Times New Roman" w:hAnsi="Times New Roman"/>
            <w:b w:val="false"/>
            <w:i w:val="false"/>
            <w:color w:val="000000"/>
            <w:sz w:val="22"/>
          </w:rPr>
          <w:t>481—301.7</w:t>
        </w:r>
      </w:hyperlink>
      <w:r>
        <w:rPr>
          <w:rFonts w:ascii="Times New Roman" w:hAnsi="Times New Roman"/>
          <w:b w:val="false"/>
          <w:i w:val="false"/>
          <w:color w:val="000000"/>
          <w:sz w:val="22"/>
        </w:rPr>
        <w:t>(103A) for new construction. Only portions of the structure altered or affected by the alteration are required to comply with the requirements for new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481—280.11</w:t>
      </w:r>
      <w:r>
        <w:rPr>
          <w:rFonts w:ascii="Times New Roman" w:hAnsi="Times New Roman"/>
          <w:b/>
          <w:i w:val="false"/>
          <w:color w:val="000000"/>
          <w:sz w:val="22"/>
        </w:rPr>
        <w:t xml:space="preserve">(10A) </w:t>
      </w:r>
      <w:r>
        <w:rPr>
          <w:rFonts w:ascii="Times New Roman" w:hAnsi="Times New Roman"/>
          <w:b/>
          <w:i w:val="false"/>
          <w:color w:val="000000"/>
          <w:sz w:val="22"/>
        </w:rPr>
        <w:t xml:space="preserve">Recognition of local fire ordinances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280.11(1)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a health care facility subject to the requirements of rule </w:t>
      </w:r>
      <w:hyperlink r:id="rId53">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a building, structure, or facility is deemed to comply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 structure, or facility is in a local jurisdiction that has adopted a local fire ordinance that adopts by reference any edition of the International Fire Code, published by the International Code Council; any edition of NFPA 1, Uniform Fire Code, published by the NFPA; or the Uniform Fire Code, 1997 edition, published by the Western Fire Chiefs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fire ordinance is enforced through a process of review and approval of construction plans for compliance with the local fire ordinance and a process of regular inspections for compliance with the local fire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building, structure, or facility is subject to regular fire safety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jurisdiction has verified, during its most recent inspection, including any follow-up inspections, that the building, structure, or facility complies with the local fire ordinance.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280.11(2)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conflicting provisions contained in any code adopted by reference in this chapter or by any local fire ordinance, compliance with the provisions of </w:t>
      </w:r>
      <w:hyperlink r:id="rId54">
        <w:r>
          <w:rPr>
            <w:rStyle w:val="Hyperlink"/>
            <w:rFonts w:ascii="Times New Roman" w:hAnsi="Times New Roman"/>
            <w:b w:val="false"/>
            <w:i w:val="false"/>
            <w:color w:val="000000"/>
            <w:sz w:val="22"/>
          </w:rPr>
          <w:t>481—Chapter 282</w:t>
        </w:r>
      </w:hyperlink>
      <w:r>
        <w:rPr>
          <w:rFonts w:ascii="Times New Roman" w:hAnsi="Times New Roman"/>
          <w:b w:val="false"/>
          <w:i w:val="false"/>
          <w:color w:val="000000"/>
          <w:sz w:val="22"/>
        </w:rPr>
        <w:t xml:space="preserve"> is required at any location or facility in which flammable or combustible liquids are stored, handled, or used, other than incidental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REQUIREMENTS FOR SPECIFIC OCCUPANCIES</w:t>
      </w:r>
    </w:p>
    <w:p>
      <w:pPr>
        <w:spacing w:before="0" w:after="0"/>
        <w:ind w:left="120"/>
        <w:jc w:val="both"/>
      </w:pPr>
      <w:r>
        <w:rPr>
          <w:rFonts w:ascii="Times New Roman" w:hAnsi="Times New Roman"/>
          <w:b/>
          <w:i w:val="false"/>
          <w:color w:val="000000"/>
          <w:sz w:val="22"/>
        </w:rPr>
        <w:t>481—280.12</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of rules related to specific occupancies. </w:t>
      </w:r>
      <w:r>
        <w:rPr>
          <w:rFonts w:ascii="Times New Roman" w:hAnsi="Times New Roman"/>
          <w:b w:val="false"/>
          <w:i w:val="false"/>
          <w:color w:val="000000"/>
          <w:sz w:val="22"/>
        </w:rPr>
        <w:t xml:space="preserve">The provisions of this chapter related to a specific occupancy apply solely to buildings, structures, and facilities currently being used and those proposed to be used in the specific ways described in the rule governing that specific occupancy. All other buildings, structures, and facilities in which people congregate are subject to the provisions of rules </w:t>
      </w:r>
      <w:hyperlink r:id="rId55">
        <w:r>
          <w:rPr>
            <w:rStyle w:val="Hyperlink"/>
            <w:rFonts w:ascii="Times New Roman" w:hAnsi="Times New Roman"/>
            <w:b w:val="false"/>
            <w:i w:val="false"/>
            <w:color w:val="000000"/>
            <w:sz w:val="22"/>
          </w:rPr>
          <w:t>481—280.8</w:t>
        </w:r>
      </w:hyperlink>
      <w:r>
        <w:rPr>
          <w:rFonts w:ascii="Times New Roman" w:hAnsi="Times New Roman"/>
          <w:b w:val="false"/>
          <w:i w:val="false"/>
          <w:color w:val="000000"/>
          <w:sz w:val="22"/>
        </w:rPr>
        <w:t xml:space="preserve">(10A) through </w:t>
      </w:r>
      <w:hyperlink r:id="rId56">
        <w:r>
          <w:rPr>
            <w:rStyle w:val="Hyperlink"/>
            <w:rFonts w:ascii="Times New Roman" w:hAnsi="Times New Roman"/>
            <w:b w:val="false"/>
            <w:i w:val="false"/>
            <w:color w:val="000000"/>
            <w:sz w:val="22"/>
          </w:rPr>
          <w:t>481—280.11</w:t>
        </w:r>
      </w:hyperlink>
      <w:r>
        <w:rPr>
          <w:rFonts w:ascii="Times New Roman" w:hAnsi="Times New Roman"/>
          <w:b w:val="false"/>
          <w:i w:val="false"/>
          <w:color w:val="000000"/>
          <w:sz w:val="22"/>
        </w:rPr>
        <w:t xml:space="preserve">(10A) or rule </w:t>
      </w:r>
      <w:hyperlink r:id="rId5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481—280.13</w:t>
      </w:r>
      <w:r>
        <w:rPr>
          <w:rFonts w:ascii="Times New Roman" w:hAnsi="Times New Roman"/>
          <w:b/>
          <w:i w:val="false"/>
          <w:color w:val="000000"/>
          <w:sz w:val="22"/>
        </w:rPr>
        <w:t xml:space="preserve">(10A,135C) </w:t>
      </w:r>
      <w:r>
        <w:rPr>
          <w:rFonts w:ascii="Times New Roman" w:hAnsi="Times New Roman"/>
          <w:b/>
          <w:i w:val="false"/>
          <w:color w:val="000000"/>
          <w:sz w:val="22"/>
        </w:rPr>
        <w:t xml:space="preserve">Residential care facilities with a three- to five-bed specialized license and facilities in which foster care is provided by agencies to fewer than six children pursuant to Iowa Code chapter 237. </w:t>
      </w:r>
      <w:r>
        <w:rPr>
          <w:rFonts w:ascii="Times New Roman" w:hAnsi="Times New Roman"/>
          <w:b w:val="false"/>
          <w:i w:val="false"/>
          <w:color w:val="000000"/>
          <w:sz w:val="22"/>
        </w:rPr>
        <w:t xml:space="preserve">This rule applies to residential care facilities with a three- to five-bed specialized license pursuant to Iowa Code section </w:t>
      </w:r>
      <w:hyperlink r:id="rId58">
        <w:r>
          <w:rPr>
            <w:rStyle w:val="Hyperlink"/>
            <w:rFonts w:ascii="Times New Roman" w:hAnsi="Times New Roman"/>
            <w:b w:val="false"/>
            <w:i w:val="false"/>
            <w:color w:val="000000"/>
            <w:sz w:val="22"/>
          </w:rPr>
          <w:t>135C.2(5)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481—Chapter 63</w:t>
        </w:r>
      </w:hyperlink>
      <w:r>
        <w:rPr>
          <w:rFonts w:ascii="Times New Roman" w:hAnsi="Times New Roman"/>
          <w:b w:val="false"/>
          <w:i w:val="false"/>
          <w:color w:val="000000"/>
          <w:sz w:val="22"/>
        </w:rPr>
        <w:t xml:space="preserve"> and facilities in which foster care is provided by agencies to fewer than six children pursuant to Iowa Code chapter </w:t>
      </w:r>
      <w:hyperlink r:id="rId60">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The following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w:t>
      </w:r>
      <w:r>
        <w:rPr>
          <w:rFonts w:ascii="Times New Roman" w:hAnsi="Times New Roman"/>
          <w:b w:val="false"/>
          <w:i w:val="false"/>
          <w:color w:val="000000"/>
          <w:sz w:val="22"/>
        </w:rPr>
        <w:t> </w:t>
      </w:r>
      <w:r>
        <w:rPr>
          <w:rFonts w:ascii="Times New Roman" w:hAnsi="Times New Roman"/>
          <w:b w:val="false"/>
          <w:i/>
          <w:color w:val="000000"/>
          <w:sz w:val="22"/>
        </w:rPr>
        <w:t xml:space="preserve">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approved exits from the main level of the home and from each level with resident sleeping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Interior and exterior stairways with a minimum clear width of not less than 30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280.13(2)</w:t>
      </w:r>
      <w:r>
        <w:rPr>
          <w:rFonts w:ascii="Times New Roman" w:hAnsi="Times New Roman"/>
          <w:b w:val="false"/>
          <w:i w:val="false"/>
          <w:color w:val="000000"/>
          <w:sz w:val="22"/>
        </w:rPr>
        <w:t> </w:t>
      </w:r>
      <w:r>
        <w:rPr>
          <w:rFonts w:ascii="Times New Roman" w:hAnsi="Times New Roman"/>
          <w:b w:val="false"/>
          <w:i/>
          <w:color w:val="000000"/>
          <w:sz w:val="22"/>
        </w:rPr>
        <w:t xml:space="preserve">Windows. </w:t>
      </w:r>
      <w:r>
        <w:rPr>
          <w:rFonts w:ascii="Times New Roman" w:hAnsi="Times New Roman"/>
          <w:b w:val="false"/>
          <w:i w:val="false"/>
          <w:color w:val="000000"/>
          <w:sz w:val="22"/>
        </w:rPr>
        <w:t>For every resident sleeping room, an outside window or outside door arranged and located to permit the venting of products of combustion and access to fresh air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new construction, windows with a minimum net clear openable area of 5.7 square feet, minimum net clear openable height of 24 inches, minimum net clear openable width of 20 inches, and finished sill height not more than 44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existing construction, the finished sill height not more than 44 inches above the floor or the finished sill accessible from a platform not more than 44 inches below the window sill.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280.13(3)</w:t>
      </w:r>
      <w:r>
        <w:rPr>
          <w:rFonts w:ascii="Times New Roman" w:hAnsi="Times New Roman"/>
          <w:b w:val="false"/>
          <w:i w:val="false"/>
          <w:color w:val="000000"/>
          <w:sz w:val="22"/>
        </w:rPr>
        <w:t> </w:t>
      </w:r>
      <w:r>
        <w:rPr>
          <w:rFonts w:ascii="Times New Roman" w:hAnsi="Times New Roman"/>
          <w:b w:val="false"/>
          <w:i/>
          <w:color w:val="000000"/>
          <w:sz w:val="22"/>
        </w:rPr>
        <w:t xml:space="preserve">Interior finish. </w:t>
      </w:r>
      <w:r>
        <w:rPr>
          <w:rFonts w:ascii="Times New Roman" w:hAnsi="Times New Roman"/>
          <w:b w:val="false"/>
          <w:i w:val="false"/>
          <w:color w:val="000000"/>
          <w:sz w:val="22"/>
        </w:rPr>
        <w:t xml:space="preserve">Interior finish in an exit shall be in accordance with the IFC edition adopted in subrule </w:t>
      </w:r>
      <w:hyperlink r:id="rId61">
        <w:r>
          <w:rPr>
            <w:rStyle w:val="Hyperlink"/>
            <w:rFonts w:ascii="Times New Roman" w:hAnsi="Times New Roman"/>
            <w:b w:val="false"/>
            <w:i w:val="false"/>
            <w:color w:val="000000"/>
            <w:sz w:val="22"/>
          </w:rPr>
          <w:t>280.8(1)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280.13(4)</w:t>
      </w:r>
      <w:r>
        <w:rPr>
          <w:rFonts w:ascii="Times New Roman" w:hAnsi="Times New Roman"/>
          <w:b w:val="false"/>
          <w:i w:val="false"/>
          <w:color w:val="000000"/>
          <w:sz w:val="22"/>
        </w:rPr>
        <w:t> </w:t>
      </w:r>
      <w:r>
        <w:rPr>
          <w:rFonts w:ascii="Times New Roman" w:hAnsi="Times New Roman"/>
          <w:b w:val="false"/>
          <w:i/>
          <w:color w:val="000000"/>
          <w:sz w:val="22"/>
        </w:rPr>
        <w:t xml:space="preserve">Doors. </w:t>
      </w:r>
      <w:r>
        <w:rPr>
          <w:rFonts w:ascii="Times New Roman" w:hAnsi="Times New Roman"/>
          <w:b w:val="false"/>
          <w:i w:val="false"/>
          <w:color w:val="000000"/>
          <w:sz w:val="22"/>
        </w:rPr>
        <w:t>A minimum of 1⅜-inch solid core wood or equivalent doors to resident sleeping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280.13(5)</w:t>
      </w:r>
      <w:r>
        <w:rPr>
          <w:rFonts w:ascii="Times New Roman" w:hAnsi="Times New Roman"/>
          <w:b w:val="false"/>
          <w:i w:val="false"/>
          <w:color w:val="000000"/>
          <w:sz w:val="22"/>
        </w:rPr>
        <w:t> </w:t>
      </w:r>
      <w:r>
        <w:rPr>
          <w:rFonts w:ascii="Times New Roman" w:hAnsi="Times New Roman"/>
          <w:b w:val="false"/>
          <w:i/>
          <w:color w:val="000000"/>
          <w:sz w:val="22"/>
        </w:rPr>
        <w:t xml:space="preserve">Vertical separations. </w:t>
      </w:r>
      <w:r>
        <w:rPr>
          <w:rFonts w:ascii="Times New Roman" w:hAnsi="Times New Roman"/>
          <w:b w:val="false"/>
          <w:i w:val="false"/>
          <w:color w:val="000000"/>
          <w:sz w:val="22"/>
        </w:rPr>
        <w:t>Basement stairs enclosed with one-hour rated partitions and 1¾-inch solid core wood doors equipped with self-closers. These doors must be kept closed unless held open by an approved electromagnetic holder, actuated by an approved smoke detection device located at the top of the stairwell and interconnected with the alarm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280.13(6)</w:t>
      </w:r>
      <w:r>
        <w:rPr>
          <w:rFonts w:ascii="Times New Roman" w:hAnsi="Times New Roman"/>
          <w:b w:val="false"/>
          <w:i w:val="false"/>
          <w:color w:val="000000"/>
          <w:sz w:val="22"/>
        </w:rPr>
        <w:t> </w:t>
      </w:r>
      <w:r>
        <w:rPr>
          <w:rFonts w:ascii="Times New Roman" w:hAnsi="Times New Roman"/>
          <w:b w:val="false"/>
          <w:i/>
          <w:color w:val="000000"/>
          <w:sz w:val="22"/>
        </w:rPr>
        <w:t xml:space="preserve">Fire detection, fire alarms, and sprinklers.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Smoke detection installed on each occupied floor, including basements, in accordance with NFPA 72, as set forth in the IFC edition adopted in subrule </w:t>
      </w:r>
      <w:hyperlink r:id="rId62">
        <w:r>
          <w:rPr>
            <w:rStyle w:val="Hyperlink"/>
            <w:rFonts w:ascii="Times New Roman" w:hAnsi="Times New Roman"/>
            <w:b w:val="false"/>
            <w:i w:val="false"/>
            <w:color w:val="000000"/>
            <w:sz w:val="22"/>
          </w:rPr>
          <w:t>280.8(1)</w:t>
        </w:r>
      </w:hyperlink>
      <w:r>
        <w:rPr>
          <w:rFonts w:ascii="Times New Roman" w:hAnsi="Times New Roman"/>
          <w:b w:val="false"/>
          <w:i w:val="false"/>
          <w:color w:val="000000"/>
          <w:sz w:val="22"/>
        </w:rPr>
        <w:t>. Smoke detectors shall be interconnected so that activation of any detector will sound an audible alarm throughout. The system must be tested by a competent person at least semiannually with date of test and name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homes in which exiting is restricted by special door-locking arrangements that prevent residents from free egress, sprinkler systems meeting the requirements of NFPA 13D, as set forth in the IFC edition adopted in subrule </w:t>
      </w:r>
      <w:hyperlink r:id="rId63">
        <w:r>
          <w:rPr>
            <w:rStyle w:val="Hyperlink"/>
            <w:rFonts w:ascii="Times New Roman" w:hAnsi="Times New Roman"/>
            <w:b w:val="false"/>
            <w:i w:val="false"/>
            <w:color w:val="000000"/>
            <w:sz w:val="22"/>
          </w:rPr>
          <w:t>280.8(1)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280.13(7)</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Approved fire extinguishers provided on each floor, located so that a person will not have to travel more than 75 feet from any point to reach the nearest extinguisher and an additional extinguisher provided in, or adjacent to, each kitchen or basement storage room. The type and number of portable fire extinguishers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280.13(8)</w:t>
      </w:r>
      <w:r>
        <w:rPr>
          <w:rFonts w:ascii="Times New Roman" w:hAnsi="Times New Roman"/>
          <w:b w:val="false"/>
          <w:i w:val="false"/>
          <w:color w:val="000000"/>
          <w:sz w:val="22"/>
        </w:rPr>
        <w:t> </w:t>
      </w:r>
      <w:r>
        <w:rPr>
          <w:rFonts w:ascii="Times New Roman" w:hAnsi="Times New Roman"/>
          <w:b w:val="false"/>
          <w:i/>
          <w:color w:val="000000"/>
          <w:sz w:val="22"/>
        </w:rPr>
        <w:t xml:space="preserve">Mechanical, electrical, and building service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Air conditioning, ventilating, heating, cooking, and other service equipment will be installed in accordance with the manufacturer’s specifications and any pertinent state regulations, including national standards adopted therein, governing the same. All hazardous areas normally found in one- and two-family dwellings, such as laundry, kitchen, heating units and closets, need not be separated with walls if all equipment is installed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comfort heating devices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280.13(9)</w:t>
      </w:r>
      <w:r>
        <w:rPr>
          <w:rFonts w:ascii="Times New Roman" w:hAnsi="Times New Roman"/>
          <w:b w:val="false"/>
          <w:i w:val="false"/>
          <w:color w:val="000000"/>
          <w:sz w:val="22"/>
        </w:rPr>
        <w:t> </w:t>
      </w:r>
      <w:r>
        <w:rPr>
          <w:rFonts w:ascii="Times New Roman" w:hAnsi="Times New Roman"/>
          <w:b w:val="false"/>
          <w:i/>
          <w:color w:val="000000"/>
          <w:sz w:val="22"/>
        </w:rPr>
        <w:t xml:space="preserve">Attendants; evacuation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in which residents are present shall have at least one staff person who is at least 18 years of age and capable of performing the required duties of evacuation on the premises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facility will formulate a plan for the protection of all persons in the event of fire and for their evacuation to areas of refuge and from the building when necessary. All employees will be instructed and kept informed with respect to their duties under the plan. The plan will be posted where all employees may readily study it. Fire drills will be held at least once a month, with records retained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280.13(10)</w:t>
      </w:r>
      <w:r>
        <w:rPr>
          <w:rFonts w:ascii="Times New Roman" w:hAnsi="Times New Roman"/>
          <w:b w:val="false"/>
          <w:i w:val="false"/>
          <w:color w:val="000000"/>
          <w:sz w:val="22"/>
        </w:rPr>
        <w:t> </w:t>
      </w:r>
      <w:r>
        <w:rPr>
          <w:rFonts w:ascii="Times New Roman" w:hAnsi="Times New Roman"/>
          <w:b w:val="false"/>
          <w:i/>
          <w:color w:val="000000"/>
          <w:sz w:val="22"/>
        </w:rPr>
        <w:t xml:space="preserve">Smoking.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no smoking in resident sleeping areas, and smoking policies will be strictly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ashtrays will be constructed of noncombustible material with self-closing tops and provided in areas where smoking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280.13(11)</w:t>
      </w:r>
      <w:r>
        <w:rPr>
          <w:rFonts w:ascii="Times New Roman" w:hAnsi="Times New Roman"/>
          <w:b w:val="false"/>
          <w:i w:val="false"/>
          <w:color w:val="000000"/>
          <w:sz w:val="22"/>
        </w:rPr>
        <w:t> </w:t>
      </w:r>
      <w:r>
        <w:rPr>
          <w:rFonts w:ascii="Times New Roman" w:hAnsi="Times New Roman"/>
          <w:b w:val="false"/>
          <w:i/>
          <w:color w:val="000000"/>
          <w:sz w:val="22"/>
        </w:rPr>
        <w:t xml:space="preserve">Exit illumination. </w:t>
      </w:r>
      <w:r>
        <w:rPr>
          <w:rFonts w:ascii="Times New Roman" w:hAnsi="Times New Roman"/>
          <w:b w:val="false"/>
          <w:i w:val="false"/>
          <w:color w:val="000000"/>
          <w:sz w:val="22"/>
        </w:rPr>
        <w:t>Approved rechargeable battery-powered emergency lighting installed to provide automatic exit illumination in the event of failure of the normal lighting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280.13(12)</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Nonambulatory residents shall be housed only on accessible floors that have direct access to grade where the use of stairs or elevators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280.13(13)</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fire and life safety equipment or devices are regularly and properly maintained in an operable condition at all times in accordance with nationally recognized standards adopted herein. Such equipment and devices include fire extinguishing equipment, alarm systems, doors and their appurtenances, cords and switches, heating and ventilating equipment, sprinkler systems, and exit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Storerooms are maintained in a neat and proper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Excessive storage of combustible materials such as papers, cartons, magazines, paints, sprays, old clothing, furniture, and similar materials is prohibited at all times.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FIRE SAFETY REQUIREMENTS FOR HOSPITALS AND HEALTH CARE FACILITIES</w:t>
      </w:r>
    </w:p>
    <w:p>
      <w:pPr>
        <w:spacing w:before="0" w:after="0"/>
        <w:ind w:left="120"/>
        <w:jc w:val="both"/>
      </w:pPr>
      <w:r>
        <w:rPr>
          <w:rFonts w:ascii="Times New Roman" w:hAnsi="Times New Roman"/>
          <w:b/>
          <w:i w:val="false"/>
          <w:color w:val="000000"/>
          <w:sz w:val="22"/>
        </w:rPr>
        <w:t>481—280.14</w:t>
      </w:r>
      <w:r>
        <w:rPr>
          <w:rFonts w:ascii="Times New Roman" w:hAnsi="Times New Roman"/>
          <w:b/>
          <w:i w:val="false"/>
          <w:color w:val="000000"/>
          <w:sz w:val="22"/>
        </w:rPr>
        <w:t xml:space="preserve">(10A) </w:t>
      </w:r>
      <w:r>
        <w:rPr>
          <w:rFonts w:ascii="Times New Roman" w:hAnsi="Times New Roman"/>
          <w:b/>
          <w:i w:val="false"/>
          <w:color w:val="000000"/>
          <w:sz w:val="22"/>
        </w:rPr>
        <w:t xml:space="preserve">Fire safety requirements for ambulatory surgical centers, 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w:t>
      </w:r>
      <w:r>
        <w:rPr>
          <w:rFonts w:ascii="Times New Roman" w:hAnsi="Times New Roman"/>
          <w:b w:val="false"/>
          <w:i w:val="false"/>
          <w:color w:val="000000"/>
          <w:sz w:val="22"/>
        </w:rPr>
        <w:t> </w:t>
      </w:r>
      <w:r>
        <w:rPr>
          <w:rFonts w:ascii="Times New Roman" w:hAnsi="Times New Roman"/>
          <w:b w:val="false"/>
          <w:i w:val="false"/>
          <w:color w:val="000000"/>
          <w:sz w:val="22"/>
        </w:rPr>
        <w:t>means that a facility (1) has been in continuous operation under its current classification of occupancy since before July 5, 2016, and has not undergone renovation or remodeling, including an addition, on or after July 5, 2016, or (2) received plan approval for initial construction or for its most recent renovation or remodeling project, including an addition, if any, from the building code bureau of the fire marshal division prior to July 5,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w:t>
      </w:r>
      <w:r>
        <w:rPr>
          <w:rFonts w:ascii="Times New Roman" w:hAnsi="Times New Roman"/>
          <w:b w:val="false"/>
          <w:i w:val="false"/>
          <w:color w:val="000000"/>
          <w:sz w:val="22"/>
        </w:rPr>
        <w:t> </w:t>
      </w:r>
      <w:r>
        <w:rPr>
          <w:rFonts w:ascii="Times New Roman" w:hAnsi="Times New Roman"/>
          <w:b w:val="false"/>
          <w:i w:val="false"/>
          <w:color w:val="000000"/>
          <w:sz w:val="22"/>
        </w:rPr>
        <w:t>means that a facility (1) commenced continuous operation under its current classification of occupancy on or after July 5, 2016, (2) has undergone renovation or remodeling, including an addition, on or after July 5, 2016, or (3) received plan approval from the building code bureau of the fire marshal division for the initial construction of the facility or the most recent renovation of or addition to the facility on or after July 5,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280.14(2)</w:t>
      </w:r>
      <w:r>
        <w:rPr>
          <w:rFonts w:ascii="Times New Roman" w:hAnsi="Times New Roman"/>
          <w:b w:val="false"/>
          <w:i w:val="false"/>
          <w:color w:val="000000"/>
          <w:sz w:val="22"/>
        </w:rPr>
        <w:t> </w:t>
      </w:r>
      <w:r>
        <w:rPr>
          <w:rFonts w:ascii="Times New Roman" w:hAnsi="Times New Roman"/>
          <w:b w:val="false"/>
          <w:i/>
          <w:color w:val="000000"/>
          <w:sz w:val="22"/>
        </w:rPr>
        <w:t xml:space="preserve">New hospitals. </w:t>
      </w:r>
      <w:r>
        <w:rPr>
          <w:rFonts w:ascii="Times New Roman" w:hAnsi="Times New Roman"/>
          <w:b w:val="false"/>
          <w:i w:val="false"/>
          <w:color w:val="000000"/>
          <w:sz w:val="22"/>
        </w:rPr>
        <w:t>NFPA 101, Life Safety Code, 2012 edition, Chapter 18, is adopted by reference as the fire safety rules for new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280.14(3)</w:t>
      </w:r>
      <w:r>
        <w:rPr>
          <w:rFonts w:ascii="Times New Roman" w:hAnsi="Times New Roman"/>
          <w:b w:val="false"/>
          <w:i w:val="false"/>
          <w:color w:val="000000"/>
          <w:sz w:val="22"/>
        </w:rPr>
        <w:t> </w:t>
      </w:r>
      <w:r>
        <w:rPr>
          <w:rFonts w:ascii="Times New Roman" w:hAnsi="Times New Roman"/>
          <w:b w:val="false"/>
          <w:i/>
          <w:color w:val="000000"/>
          <w:sz w:val="22"/>
        </w:rPr>
        <w:t xml:space="preserve">Existing hospitals. </w:t>
      </w:r>
      <w:r>
        <w:rPr>
          <w:rFonts w:ascii="Times New Roman" w:hAnsi="Times New Roman"/>
          <w:b w:val="false"/>
          <w:i w:val="false"/>
          <w:color w:val="000000"/>
          <w:sz w:val="22"/>
        </w:rPr>
        <w:t>NFPA 101, Life Safety Code, 2012 edition, Chapter 19, is adopted by reference as the fire safety rules for existing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280.14(4)</w:t>
      </w:r>
      <w:r>
        <w:rPr>
          <w:rFonts w:ascii="Times New Roman" w:hAnsi="Times New Roman"/>
          <w:b w:val="false"/>
          <w:i w:val="false"/>
          <w:color w:val="000000"/>
          <w:sz w:val="22"/>
        </w:rPr>
        <w:t> </w:t>
      </w:r>
      <w:r>
        <w:rPr>
          <w:rFonts w:ascii="Times New Roman" w:hAnsi="Times New Roman"/>
          <w:b w:val="false"/>
          <w:i/>
          <w:color w:val="000000"/>
          <w:sz w:val="22"/>
        </w:rPr>
        <w:t xml:space="preserve">New nursing facilities and hospices. </w:t>
      </w:r>
      <w:r>
        <w:rPr>
          <w:rFonts w:ascii="Times New Roman" w:hAnsi="Times New Roman"/>
          <w:b w:val="false"/>
          <w:i w:val="false"/>
          <w:color w:val="000000"/>
          <w:sz w:val="22"/>
        </w:rPr>
        <w:t>NFPA 101, Life Safety Code, 2012 edition, Chapter 18, is adopted by reference as the fire safety rules for new nursing facilities and hospices that provide inpatient care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280.14(5)</w:t>
      </w:r>
      <w:r>
        <w:rPr>
          <w:rFonts w:ascii="Times New Roman" w:hAnsi="Times New Roman"/>
          <w:b w:val="false"/>
          <w:i w:val="false"/>
          <w:color w:val="000000"/>
          <w:sz w:val="22"/>
        </w:rPr>
        <w:t> </w:t>
      </w:r>
      <w:r>
        <w:rPr>
          <w:rFonts w:ascii="Times New Roman" w:hAnsi="Times New Roman"/>
          <w:b w:val="false"/>
          <w:i/>
          <w:color w:val="000000"/>
          <w:sz w:val="22"/>
        </w:rPr>
        <w:t xml:space="preserve">Existing nursing facilities and hospices. </w:t>
      </w:r>
      <w:r>
        <w:rPr>
          <w:rFonts w:ascii="Times New Roman" w:hAnsi="Times New Roman"/>
          <w:b w:val="false"/>
          <w:i w:val="false"/>
          <w:color w:val="000000"/>
          <w:sz w:val="22"/>
        </w:rPr>
        <w:t>NFPA 101, Life Safety Code, 2012 edition, Chapter 19, is adopted by reference as the fire safety rules for existing nursing facilities and hospices that provide inpatient care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280.14(6)</w:t>
      </w:r>
      <w:r>
        <w:rPr>
          <w:rFonts w:ascii="Times New Roman" w:hAnsi="Times New Roman"/>
          <w:b w:val="false"/>
          <w:i w:val="false"/>
          <w:color w:val="000000"/>
          <w:sz w:val="22"/>
        </w:rPr>
        <w:t> </w:t>
      </w:r>
      <w:r>
        <w:rPr>
          <w:rFonts w:ascii="Times New Roman" w:hAnsi="Times New Roman"/>
          <w:b w:val="false"/>
          <w:i/>
          <w:color w:val="000000"/>
          <w:sz w:val="22"/>
        </w:rPr>
        <w:t xml:space="preserve">New intermediate care facilities. </w:t>
      </w:r>
      <w:r>
        <w:rPr>
          <w:rFonts w:ascii="Times New Roman" w:hAnsi="Times New Roman"/>
          <w:b w:val="false"/>
          <w:i w:val="false"/>
          <w:color w:val="000000"/>
          <w:sz w:val="22"/>
        </w:rPr>
        <w:t>New intermediate care facilities shall comply with the provisions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280.14(7)</w:t>
      </w:r>
      <w:r>
        <w:rPr>
          <w:rFonts w:ascii="Times New Roman" w:hAnsi="Times New Roman"/>
          <w:b w:val="false"/>
          <w:i w:val="false"/>
          <w:color w:val="000000"/>
          <w:sz w:val="22"/>
        </w:rPr>
        <w:t> </w:t>
      </w:r>
      <w:r>
        <w:rPr>
          <w:rFonts w:ascii="Times New Roman" w:hAnsi="Times New Roman"/>
          <w:b w:val="false"/>
          <w:i/>
          <w:color w:val="000000"/>
          <w:sz w:val="22"/>
        </w:rPr>
        <w:t xml:space="preserve">Existing intermediate care facilities. </w:t>
      </w:r>
      <w:r>
        <w:rPr>
          <w:rFonts w:ascii="Times New Roman" w:hAnsi="Times New Roman"/>
          <w:b w:val="false"/>
          <w:i w:val="false"/>
          <w:color w:val="000000"/>
          <w:sz w:val="22"/>
        </w:rPr>
        <w:t>Existing intermediate care facilities shall comply with the provisions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280.14(8)</w:t>
      </w:r>
      <w:r>
        <w:rPr>
          <w:rFonts w:ascii="Times New Roman" w:hAnsi="Times New Roman"/>
          <w:b w:val="false"/>
          <w:i w:val="false"/>
          <w:color w:val="000000"/>
          <w:sz w:val="22"/>
        </w:rPr>
        <w:t> </w:t>
      </w:r>
      <w:r>
        <w:rPr>
          <w:rFonts w:ascii="Times New Roman" w:hAnsi="Times New Roman"/>
          <w:b w:val="false"/>
          <w:i/>
          <w:color w:val="000000"/>
          <w:sz w:val="22"/>
        </w:rPr>
        <w:t xml:space="preserve">New ambulatory surgical centers. </w:t>
      </w:r>
      <w:r>
        <w:rPr>
          <w:rFonts w:ascii="Times New Roman" w:hAnsi="Times New Roman"/>
          <w:b w:val="false"/>
          <w:i w:val="false"/>
          <w:color w:val="000000"/>
          <w:sz w:val="22"/>
        </w:rPr>
        <w:t>NFPA 101, Life Safety Code, 2012 edition, Chapter 20, is adopted by reference as the fire safety rules for new ambulatory surgical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280.14(9)</w:t>
      </w:r>
      <w:r>
        <w:rPr>
          <w:rFonts w:ascii="Times New Roman" w:hAnsi="Times New Roman"/>
          <w:b w:val="false"/>
          <w:i w:val="false"/>
          <w:color w:val="000000"/>
          <w:sz w:val="22"/>
        </w:rPr>
        <w:t> </w:t>
      </w:r>
      <w:r>
        <w:rPr>
          <w:rFonts w:ascii="Times New Roman" w:hAnsi="Times New Roman"/>
          <w:b w:val="false"/>
          <w:i/>
          <w:color w:val="000000"/>
          <w:sz w:val="22"/>
        </w:rPr>
        <w:t xml:space="preserve">Existing ambulatory surgical centers. </w:t>
      </w:r>
      <w:r>
        <w:rPr>
          <w:rFonts w:ascii="Times New Roman" w:hAnsi="Times New Roman"/>
          <w:b w:val="false"/>
          <w:i w:val="false"/>
          <w:color w:val="000000"/>
          <w:sz w:val="22"/>
        </w:rPr>
        <w:t>NFPA 101, Life Safety Code, 2012 edition, Chapter 21, is adopted by reference as the fire safety rules for existing ambulatory surgical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280.14(10)</w:t>
      </w:r>
      <w:r>
        <w:rPr>
          <w:rFonts w:ascii="Times New Roman" w:hAnsi="Times New Roman"/>
          <w:b w:val="false"/>
          <w:i w:val="false"/>
          <w:color w:val="000000"/>
          <w:sz w:val="22"/>
        </w:rPr>
        <w:t> </w:t>
      </w:r>
      <w:r>
        <w:rPr>
          <w:rFonts w:ascii="Times New Roman" w:hAnsi="Times New Roman"/>
          <w:b w:val="false"/>
          <w:i/>
          <w:color w:val="000000"/>
          <w:sz w:val="22"/>
        </w:rPr>
        <w:t xml:space="preserve">New religious nonmedical health care institutions. </w:t>
      </w:r>
      <w:r>
        <w:rPr>
          <w:rFonts w:ascii="Times New Roman" w:hAnsi="Times New Roman"/>
          <w:b w:val="false"/>
          <w:i w:val="false"/>
          <w:color w:val="000000"/>
          <w:sz w:val="22"/>
        </w:rPr>
        <w:t xml:space="preserve">NFPA 101, Life Safety Code, 2012 edition, Chapter 18, is adopted by reference as the fire safety rules for new religious nonmedical health care institutions as defined by </w:t>
      </w:r>
      <w:r>
        <w:rPr>
          <w:rFonts w:ascii="Times New Roman" w:hAnsi="Times New Roman"/>
          <w:b w:val="false"/>
          <w:i w:val="false"/>
          <w:color w:val="000000"/>
          <w:sz w:val="22"/>
        </w:rPr>
        <w:t>42 CFR Part 403</w:t>
      </w:r>
      <w:r>
        <w:rPr>
          <w:rFonts w:ascii="Times New Roman" w:hAnsi="Times New Roman"/>
          <w:b w:val="false"/>
          <w:i w:val="false"/>
          <w:color w:val="000000"/>
          <w:sz w:val="22"/>
        </w:rPr>
        <w:t xml:space="preserve"> (effective as of September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280.14(11)</w:t>
      </w:r>
      <w:r>
        <w:rPr>
          <w:rFonts w:ascii="Times New Roman" w:hAnsi="Times New Roman"/>
          <w:b w:val="false"/>
          <w:i w:val="false"/>
          <w:color w:val="000000"/>
          <w:sz w:val="22"/>
        </w:rPr>
        <w:t> </w:t>
      </w:r>
      <w:r>
        <w:rPr>
          <w:rFonts w:ascii="Times New Roman" w:hAnsi="Times New Roman"/>
          <w:b w:val="false"/>
          <w:i/>
          <w:color w:val="000000"/>
          <w:sz w:val="22"/>
        </w:rPr>
        <w:t xml:space="preserve">Existing religious nonmedical health care institutions. </w:t>
      </w:r>
      <w:r>
        <w:rPr>
          <w:rFonts w:ascii="Times New Roman" w:hAnsi="Times New Roman"/>
          <w:b w:val="false"/>
          <w:i w:val="false"/>
          <w:color w:val="000000"/>
          <w:sz w:val="22"/>
        </w:rPr>
        <w:t xml:space="preserve">NFPA 101, Life Safety Code, 2012 edition, Chapter 19, is adopted by reference as the fire safety rules for existing religious nonmedical health care institutions as defined by </w:t>
      </w:r>
      <w:r>
        <w:rPr>
          <w:rFonts w:ascii="Times New Roman" w:hAnsi="Times New Roman"/>
          <w:b w:val="false"/>
          <w:i w:val="false"/>
          <w:color w:val="000000"/>
          <w:sz w:val="22"/>
        </w:rPr>
        <w:t>42 CFR Part 403</w:t>
      </w:r>
      <w:r>
        <w:rPr>
          <w:rFonts w:ascii="Times New Roman" w:hAnsi="Times New Roman"/>
          <w:b w:val="false"/>
          <w:i w:val="false"/>
          <w:color w:val="000000"/>
          <w:sz w:val="22"/>
        </w:rPr>
        <w:t xml:space="preserve"> (effective as of September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280.14(12)</w:t>
      </w:r>
      <w:r>
        <w:rPr>
          <w:rFonts w:ascii="Times New Roman" w:hAnsi="Times New Roman"/>
          <w:b w:val="false"/>
          <w:i w:val="false"/>
          <w:color w:val="000000"/>
          <w:sz w:val="22"/>
        </w:rPr>
        <w:t> </w:t>
      </w:r>
      <w:r>
        <w:rPr>
          <w:rFonts w:ascii="Times New Roman" w:hAnsi="Times New Roman"/>
          <w:b w:val="false"/>
          <w:i/>
          <w:color w:val="000000"/>
          <w:sz w:val="22"/>
        </w:rPr>
        <w:t xml:space="preserve">Evacuation capability. </w:t>
      </w:r>
      <w:r>
        <w:rPr>
          <w:rFonts w:ascii="Times New Roman" w:hAnsi="Times New Roman"/>
          <w:b w:val="false"/>
          <w:i w:val="false"/>
          <w:color w:val="000000"/>
          <w:sz w:val="22"/>
        </w:rPr>
        <w:t>Any requirement contained in NFPA 101, Life Safety Code, 2012 edition, Chapters 32 or 33, that is determined on a rating of evacuation capability shall be “impractical.”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SMOKE ALARMS/DETECTORS</w:t>
      </w:r>
    </w:p>
    <w:p>
      <w:pPr>
        <w:spacing w:before="0" w:after="0"/>
        <w:ind w:left="120"/>
        <w:jc w:val="both"/>
      </w:pPr>
      <w:r>
        <w:rPr>
          <w:rFonts w:ascii="Times New Roman" w:hAnsi="Times New Roman"/>
          <w:b/>
          <w:i w:val="false"/>
          <w:color w:val="000000"/>
          <w:sz w:val="22"/>
        </w:rPr>
        <w:t>481—280.15</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definitions, and requirements for smoke alarms and smoke detectors.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w:t>
      </w:r>
      <w:r>
        <w:rPr>
          <w:rFonts w:ascii="Times New Roman" w:hAnsi="Times New Roman"/>
          <w:b w:val="false"/>
          <w:i w:val="false"/>
          <w:color w:val="000000"/>
          <w:sz w:val="22"/>
        </w:rPr>
        <w:t> </w:t>
      </w:r>
      <w:r>
        <w:rPr>
          <w:rFonts w:ascii="Times New Roman" w:hAnsi="Times New Roman"/>
          <w:b w:val="false"/>
          <w:i w:val="false"/>
          <w:color w:val="000000"/>
          <w:sz w:val="22"/>
        </w:rPr>
        <w:t>This rule applies to single-family and two-family residences, townhouses, and all other residential occupancies in commercial buildings unless otherwise provided herein or by another provision of law. This rule does not apply to nonresidential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following definition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that the equipment has been approved by the department or listed for a specific use by an independent testing laboratory or organization of national reputation.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280.15(3)</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smoke alarms are required to be listed under UL 217 edition 8 or 9. Approved single-station smoke alarms are acceptable in all areas covered by this chapter unless other fire warning equipment or materials are required by any provision of rules </w:t>
      </w:r>
      <w:hyperlink r:id="rId64">
        <w:r>
          <w:rPr>
            <w:rStyle w:val="Hyperlink"/>
            <w:rFonts w:ascii="Times New Roman" w:hAnsi="Times New Roman"/>
            <w:b w:val="false"/>
            <w:i w:val="false"/>
            <w:color w:val="000000"/>
            <w:sz w:val="22"/>
          </w:rPr>
          <w:t>481—280.8</w:t>
        </w:r>
      </w:hyperlink>
      <w:r>
        <w:rPr>
          <w:rFonts w:ascii="Times New Roman" w:hAnsi="Times New Roman"/>
          <w:b w:val="false"/>
          <w:i w:val="false"/>
          <w:color w:val="000000"/>
          <w:sz w:val="22"/>
        </w:rPr>
        <w:t xml:space="preserve">(10A) through </w:t>
      </w:r>
      <w:hyperlink r:id="rId65">
        <w:r>
          <w:rPr>
            <w:rStyle w:val="Hyperlink"/>
            <w:rFonts w:ascii="Times New Roman" w:hAnsi="Times New Roman"/>
            <w:b w:val="false"/>
            <w:i w:val="false"/>
            <w:color w:val="000000"/>
            <w:sz w:val="22"/>
          </w:rPr>
          <w:t>481—280.10</w:t>
        </w:r>
      </w:hyperlink>
      <w:r>
        <w:rPr>
          <w:rFonts w:ascii="Times New Roman" w:hAnsi="Times New Roman"/>
          <w:b w:val="false"/>
          <w:i w:val="false"/>
          <w:color w:val="000000"/>
          <w:sz w:val="22"/>
        </w:rPr>
        <w:t xml:space="preserve">(10A), rules </w:t>
      </w:r>
      <w:hyperlink r:id="rId66">
        <w:r>
          <w:rPr>
            <w:rStyle w:val="Hyperlink"/>
            <w:rFonts w:ascii="Times New Roman" w:hAnsi="Times New Roman"/>
            <w:b w:val="false"/>
            <w:i w:val="false"/>
            <w:color w:val="000000"/>
            <w:sz w:val="22"/>
          </w:rPr>
          <w:t>481—280.12</w:t>
        </w:r>
      </w:hyperlink>
      <w:r>
        <w:rPr>
          <w:rFonts w:ascii="Times New Roman" w:hAnsi="Times New Roman"/>
          <w:b w:val="false"/>
          <w:i w:val="false"/>
          <w:color w:val="000000"/>
          <w:sz w:val="22"/>
        </w:rPr>
        <w:t xml:space="preserve">(10A) and </w:t>
      </w:r>
      <w:hyperlink r:id="rId67">
        <w:r>
          <w:rPr>
            <w:rStyle w:val="Hyperlink"/>
            <w:rFonts w:ascii="Times New Roman" w:hAnsi="Times New Roman"/>
            <w:b w:val="false"/>
            <w:i w:val="false"/>
            <w:color w:val="000000"/>
            <w:sz w:val="22"/>
          </w:rPr>
          <w:t>481—280.13</w:t>
        </w:r>
      </w:hyperlink>
      <w:r>
        <w:rPr>
          <w:rFonts w:ascii="Times New Roman" w:hAnsi="Times New Roman"/>
          <w:b w:val="false"/>
          <w:i w:val="false"/>
          <w:color w:val="000000"/>
          <w:sz w:val="22"/>
        </w:rPr>
        <w:t xml:space="preserve">(10A,135C), or rule </w:t>
      </w:r>
      <w:hyperlink r:id="rId68">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or if a fire alarm system with smoke detection listed under UL 268 edition 8-2023 has been installed. Any single-station smoke alarm or multiple-station smoke alarm installed on or after April 1, 2010, in compliance with this subrule, including a replacement of an existing smoke alarm, shall be listed under UL 217 edition 8 or 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280.15(4)</w:t>
      </w:r>
      <w:r>
        <w:rPr>
          <w:rFonts w:ascii="Times New Roman" w:hAnsi="Times New Roman"/>
          <w:b w:val="false"/>
          <w:i w:val="false"/>
          <w:color w:val="000000"/>
          <w:sz w:val="22"/>
        </w:rPr>
        <w:t> </w:t>
      </w:r>
      <w:r>
        <w:rPr>
          <w:rFonts w:ascii="Times New Roman" w:hAnsi="Times New Roman"/>
          <w:b w:val="false"/>
          <w:i w:val="false"/>
          <w:color w:val="000000"/>
          <w:sz w:val="22"/>
        </w:rPr>
        <w:t>All devices, combinations of devices, and equipment to be installed in conformity with this chapter shall be approved and used for the purposes for which they are intended and installed in accordance with the manufacturer’s recommendations. Any devices, combinations of devices, and equipment installed on or after April 1, 2010, in compliance with this chapter, including a replacement of an existing smoke alarm, will be listed in accordance with UL 217 edition 8 or 9. Existing dual sensor smoke alarms may be maintained until replacement is recommended by the manufacturer or upon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280.15(5)</w:t>
      </w:r>
      <w:r>
        <w:rPr>
          <w:rFonts w:ascii="Times New Roman" w:hAnsi="Times New Roman"/>
          <w:b w:val="false"/>
          <w:i w:val="false"/>
          <w:color w:val="000000"/>
          <w:sz w:val="22"/>
        </w:rPr>
        <w:t> </w:t>
      </w:r>
      <w:r>
        <w:rPr>
          <w:rFonts w:ascii="Times New Roman" w:hAnsi="Times New Roman"/>
          <w:b w:val="false"/>
          <w:i w:val="false"/>
          <w:color w:val="000000"/>
          <w:sz w:val="22"/>
        </w:rPr>
        <w:t>A combination system, such as a household fire warning system whose components may be used in whole or in part, in common with a non-fire emergency signaling system, such as a burglar alarm system or an intercom system, is not permitted or approved, except for one- or two-family dwellings.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280.15(6)</w:t>
      </w:r>
      <w:r>
        <w:rPr>
          <w:rFonts w:ascii="Times New Roman" w:hAnsi="Times New Roman"/>
          <w:b w:val="false"/>
          <w:i w:val="false"/>
          <w:color w:val="000000"/>
          <w:sz w:val="22"/>
        </w:rPr>
        <w:t> </w:t>
      </w:r>
      <w:r>
        <w:rPr>
          <w:rFonts w:ascii="Times New Roman" w:hAnsi="Times New Roman"/>
          <w:b w:val="false"/>
          <w:i w:val="false"/>
          <w:color w:val="000000"/>
          <w:sz w:val="22"/>
        </w:rPr>
        <w:t>Single-station battery-operated or battery backup smoke alarms shall be replaced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280.15(7)</w:t>
      </w:r>
      <w:r>
        <w:rPr>
          <w:rFonts w:ascii="Times New Roman" w:hAnsi="Times New Roman"/>
          <w:b w:val="false"/>
          <w:i w:val="false"/>
          <w:color w:val="000000"/>
          <w:sz w:val="22"/>
        </w:rPr>
        <w:t> </w:t>
      </w:r>
      <w:r>
        <w:rPr>
          <w:rFonts w:ascii="Times New Roman" w:hAnsi="Times New Roman"/>
          <w:b w:val="false"/>
          <w:i w:val="false"/>
          <w:color w:val="000000"/>
          <w:sz w:val="22"/>
        </w:rPr>
        <w:t>Power supplies shall be sufficient to operate the smoke detector alarm for at least four continuous minutes.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new buildings and additions constructed after July 1, 1991, required smoke alarms will receive their primary power from the building wiring when such wiring is served from a commercial source. Wiring will be permanent and without a disconnecting switch other than that required for overcurrent protection. Smoke alarms may be solely battery-powered when installed in existing buildings; in buildings without commercial power; or in buildings presently undergoing alterations, repairs, or additions subject to </w:t>
      </w:r>
      <w:hyperlink r:id="rId69">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and replacement smoke alarms installed after May 1, 1993, that receive their primary power from the building wiring will be equipped with a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 and replacement smoke alarms installed after July 1, 2016, that receive their primary power from the building wiring where more than one smoke alarm is required to be installed will be interconnected in such a manner that the activation of one alarm will activate all of the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June 30, 2021, a battery-powered smoke alarm listed in accordance with UL 217 edition 8 that is newly installed or replaces an existing battery-powered smoke alarm must be powered by a nonremovable, nonreplaceable battery that powers the alarm for at least ten years. The battery requirements of this subrule do not apply to a fire alarm, smoke detector, smoke alarm, or ancillary component that is electronically connected as a part of a centrally monitored or supervised alarm system or that uses a low-power, radio frequency wireless communication signal.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280.15(8)</w:t>
      </w:r>
      <w:r>
        <w:rPr>
          <w:rFonts w:ascii="Times New Roman" w:hAnsi="Times New Roman"/>
          <w:b w:val="false"/>
          <w:i w:val="false"/>
          <w:color w:val="000000"/>
          <w:sz w:val="22"/>
        </w:rPr>
        <w:t> </w:t>
      </w:r>
      <w:r>
        <w:rPr>
          <w:rFonts w:ascii="Times New Roman" w:hAnsi="Times New Roman"/>
          <w:b w:val="false"/>
          <w:i w:val="false"/>
          <w:color w:val="000000"/>
          <w:sz w:val="22"/>
        </w:rPr>
        <w:t>The failure of any nonreliable or short-life component that renders the alarm inoperative shall be readily apparent to the occupant of the sleeping unit without the need for a test. Each smoke alarm shall detect abnormal quantities of smoke and properly operate under normal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280.15(9)</w:t>
      </w:r>
      <w:r>
        <w:rPr>
          <w:rFonts w:ascii="Times New Roman" w:hAnsi="Times New Roman"/>
          <w:b w:val="false"/>
          <w:i w:val="false"/>
          <w:color w:val="000000"/>
          <w:sz w:val="22"/>
        </w:rPr>
        <w:t> </w:t>
      </w:r>
      <w:r>
        <w:rPr>
          <w:rFonts w:ascii="Times New Roman" w:hAnsi="Times New Roman"/>
          <w:b w:val="false"/>
          <w:i w:val="false"/>
          <w:color w:val="000000"/>
          <w:sz w:val="22"/>
        </w:rPr>
        <w:t>Installed fire warning equipment shall be mounted so as to be supported independently of its attachment to wires.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280.15(10)</w:t>
      </w:r>
      <w:r>
        <w:rPr>
          <w:rFonts w:ascii="Times New Roman" w:hAnsi="Times New Roman"/>
          <w:b w:val="false"/>
          <w:i w:val="false"/>
          <w:color w:val="000000"/>
          <w:sz w:val="22"/>
        </w:rPr>
        <w:t> </w:t>
      </w:r>
      <w:r>
        <w:rPr>
          <w:rFonts w:ascii="Times New Roman" w:hAnsi="Times New Roman"/>
          <w:b w:val="false"/>
          <w:i w:val="false"/>
          <w:color w:val="000000"/>
          <w:sz w:val="22"/>
        </w:rPr>
        <w:t>All apparatus shall be restored to normal immediately after each alarm or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280.15(11)</w:t>
      </w:r>
      <w:r>
        <w:rPr>
          <w:rFonts w:ascii="Times New Roman" w:hAnsi="Times New Roman"/>
          <w:b w:val="false"/>
          <w:i w:val="false"/>
          <w:color w:val="000000"/>
          <w:sz w:val="22"/>
        </w:rPr>
        <w:t> </w:t>
      </w:r>
      <w:r>
        <w:rPr>
          <w:rFonts w:ascii="Times New Roman" w:hAnsi="Times New Roman"/>
          <w:b w:val="false"/>
          <w:i w:val="false"/>
          <w:color w:val="000000"/>
          <w:sz w:val="22"/>
        </w:rPr>
        <w:t>Smoke alarms shall be located on the ceiling or wall outside of each separate sleeping area in the immediate vicinity of bedrooms; in each room used for sleeping purposes; and in each story within a dwelling unit, including basements but not including crawl spaces and uninhabitable attics. In dwellings or dwelling units with split levels and without an intervening door between the adjacent levels, a smoke alarm installed on the upper level suffices for the adjacent lower level, provided that the lower level is less than one full story below the upper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files for a homestead tax credit pursuant to Iowa Code chapter </w:t>
      </w:r>
      <w:hyperlink r:id="rId70">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shall certify that the single-family dwelling unit for which the credit is filed has a smoke alarm(s) installed in accordance with subrules </w:t>
      </w:r>
      <w:hyperlink r:id="rId71">
        <w:r>
          <w:rPr>
            <w:rStyle w:val="Hyperlink"/>
            <w:rFonts w:ascii="Times New Roman" w:hAnsi="Times New Roman"/>
            <w:b w:val="false"/>
            <w:i w:val="false"/>
            <w:color w:val="000000"/>
            <w:sz w:val="22"/>
          </w:rPr>
          <w:t>280.15(6)</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280.15(11)</w:t>
        </w:r>
      </w:hyperlink>
      <w:r>
        <w:rPr>
          <w:rFonts w:ascii="Times New Roman" w:hAnsi="Times New Roman"/>
          <w:b w:val="false"/>
          <w:i w:val="false"/>
          <w:color w:val="000000"/>
          <w:sz w:val="22"/>
        </w:rPr>
        <w:t xml:space="preserve"> or that such smoke alarm(s) will be installed within 30 days of the date of filing for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multiple-unit residential buildings and single-family dwellings that are constructed after July 1, 1991, shall include the installation of smoke alarms meeting the requirements of this rule. All existing single-family units and multiple-unit residential buildings shall be equipped with smoke alarms or detectors as required in subrule </w:t>
      </w:r>
      <w:hyperlink r:id="rId73">
        <w:r>
          <w:rPr>
            <w:rStyle w:val="Hyperlink"/>
            <w:rFonts w:ascii="Times New Roman" w:hAnsi="Times New Roman"/>
            <w:b w:val="false"/>
            <w:i w:val="false"/>
            <w:color w:val="000000"/>
            <w:sz w:val="22"/>
          </w:rPr>
          <w:t>280.15(11)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CARBON MONOXIDE ALARMS</w:t>
      </w:r>
    </w:p>
    <w:p>
      <w:pPr>
        <w:spacing w:before="0" w:after="0"/>
        <w:ind w:left="120"/>
        <w:jc w:val="both"/>
      </w:pPr>
      <w:r>
        <w:rPr>
          <w:rFonts w:ascii="Times New Roman" w:hAnsi="Times New Roman"/>
          <w:b/>
          <w:i w:val="false"/>
          <w:color w:val="000000"/>
          <w:sz w:val="22"/>
        </w:rPr>
        <w:t>481—280.16</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and definitions. </w:t>
      </w:r>
      <w:r>
        <w:rPr>
          <w:rFonts w:ascii="Times New Roman" w:hAnsi="Times New Roman"/>
          <w:b w:val="false"/>
          <w:i w:val="false"/>
          <w:color w:val="000000"/>
          <w:sz w:val="22"/>
        </w:rPr>
        <w:t xml:space="preserve">The provisions of this part (rules </w:t>
      </w:r>
      <w:hyperlink r:id="rId74">
        <w:r>
          <w:rPr>
            <w:rStyle w:val="Hyperlink"/>
            <w:rFonts w:ascii="Times New Roman" w:hAnsi="Times New Roman"/>
            <w:b w:val="false"/>
            <w:i w:val="false"/>
            <w:color w:val="000000"/>
            <w:sz w:val="22"/>
          </w:rPr>
          <w:t>481—280.16</w:t>
        </w:r>
      </w:hyperlink>
      <w:r>
        <w:rPr>
          <w:rFonts w:ascii="Times New Roman" w:hAnsi="Times New Roman"/>
          <w:b w:val="false"/>
          <w:i w:val="false"/>
          <w:color w:val="000000"/>
          <w:sz w:val="22"/>
        </w:rPr>
        <w:t xml:space="preserve">(10A) and </w:t>
      </w:r>
      <w:hyperlink r:id="rId75">
        <w:r>
          <w:rPr>
            <w:rStyle w:val="Hyperlink"/>
            <w:rFonts w:ascii="Times New Roman" w:hAnsi="Times New Roman"/>
            <w:b w:val="false"/>
            <w:i w:val="false"/>
            <w:color w:val="000000"/>
            <w:sz w:val="22"/>
          </w:rPr>
          <w:t>481—280.17</w:t>
        </w:r>
      </w:hyperlink>
      <w:r>
        <w:rPr>
          <w:rFonts w:ascii="Times New Roman" w:hAnsi="Times New Roman"/>
          <w:b w:val="false"/>
          <w:i w:val="false"/>
          <w:color w:val="000000"/>
          <w:sz w:val="22"/>
        </w:rPr>
        <w:t>(10A)) apply to new and existing single-family residences, single-family rental units, and multiple-unit residential buildings. The provisions of this part do not apply to nonresidential occupancies, including but not limited to Group I and Group E occupancies. The following definitions apply to this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combination of materials, whether portable or fixed, to form a structure affording facilities or shelter for persons, animals, or property. “Building” includes any part of a building or an addition to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 monoxide alarm”</w:t>
      </w:r>
      <w:r>
        <w:rPr>
          <w:rFonts w:ascii="Times New Roman" w:hAnsi="Times New Roman"/>
          <w:b w:val="false"/>
          <w:i w:val="false"/>
          <w:color w:val="000000"/>
          <w:sz w:val="22"/>
        </w:rPr>
        <w:t> </w:t>
      </w:r>
      <w:r>
        <w:rPr>
          <w:rFonts w:ascii="Times New Roman" w:hAnsi="Times New Roman"/>
          <w:b w:val="false"/>
          <w:i w:val="false"/>
          <w:color w:val="000000"/>
          <w:sz w:val="22"/>
        </w:rPr>
        <w:t>means one or more devices, including but not limited to combination carbon monoxide alarm/smoke alarms, that detect carbon monoxide gas for the purpose of alerting occupants by a distinct audible signal; that incorporate a sensor, control components, and an alarm notification appliance in a single unit operated from a power source either in the unit or obtained at the point of installation; and that meet the standards established by the UL.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 monoxide detection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portion of a combination system that consists of a control unit, components, and circuits arranged to monitor and annunciate the status of carbon monoxide alarm initiating devices and to initiate the appropriate response to those signals and that meets the standards established by the UL.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“Communicating opening”</w:t>
      </w:r>
      <w:r>
        <w:rPr>
          <w:rFonts w:ascii="Times New Roman" w:hAnsi="Times New Roman"/>
          <w:b w:val="false"/>
          <w:i w:val="false"/>
          <w:color w:val="000000"/>
          <w:sz w:val="22"/>
        </w:rPr>
        <w:t> </w:t>
      </w:r>
      <w:r>
        <w:rPr>
          <w:rFonts w:ascii="Times New Roman" w:hAnsi="Times New Roman"/>
          <w:b w:val="false"/>
          <w:i w:val="false"/>
          <w:color w:val="000000"/>
          <w:sz w:val="22"/>
        </w:rPr>
        <w:t>means a door, window, or any other opening that allows air to be exchanged between a fuel-burning appliance or garage and a sleeping unit or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room or suite of rooms used for human habitation that provides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w:t>
      </w:r>
      <w:r>
        <w:rPr>
          <w:rFonts w:ascii="Times New Roman" w:hAnsi="Times New Roman"/>
          <w:b w:val="false"/>
          <w:i w:val="false"/>
          <w:color w:val="000000"/>
          <w:sz w:val="22"/>
        </w:rPr>
        <w:t> </w:t>
      </w:r>
      <w:r>
        <w:rPr>
          <w:rFonts w:ascii="Times New Roman" w:hAnsi="Times New Roman"/>
          <w:b w:val="false"/>
          <w:i w:val="false"/>
          <w:color w:val="000000"/>
          <w:sz w:val="22"/>
        </w:rPr>
        <w:t>means buildings, facilities, or conditions that are already in existence, constructed or officially authorized prior to July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“Fuel”</w:t>
      </w:r>
      <w:r>
        <w:rPr>
          <w:rFonts w:ascii="Times New Roman" w:hAnsi="Times New Roman"/>
          <w:b w:val="false"/>
          <w:i w:val="false"/>
          <w:color w:val="000000"/>
          <w:sz w:val="22"/>
        </w:rPr>
        <w:t> </w:t>
      </w:r>
      <w:r>
        <w:rPr>
          <w:rFonts w:ascii="Times New Roman" w:hAnsi="Times New Roman"/>
          <w:b w:val="false"/>
          <w:i w:val="false"/>
          <w:color w:val="000000"/>
          <w:sz w:val="22"/>
        </w:rPr>
        <w:t>means coal, kerosene, oil, fuel gases, or other petroleum products or hydrocarbon products such as wood that emit carbon monoxide as a byproduct of combustion.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“Fuel-burning”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“fuel-fired”</w:t>
      </w:r>
      <w:r>
        <w:rPr>
          <w:rFonts w:ascii="Times New Roman" w:hAnsi="Times New Roman"/>
          <w:b w:val="false"/>
          <w:i w:val="false"/>
          <w:color w:val="000000"/>
          <w:sz w:val="22"/>
        </w:rPr>
        <w:t> </w:t>
      </w:r>
      <w:r>
        <w:rPr>
          <w:rFonts w:ascii="Times New Roman" w:hAnsi="Times New Roman"/>
          <w:b w:val="false"/>
          <w:i w:val="false"/>
          <w:color w:val="000000"/>
          <w:sz w:val="22"/>
        </w:rPr>
        <w:t>means an appliance, heater, furnace, or fireplace that uses and combusts fuel as part of its designed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“Garage”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“attached garage”</w:t>
      </w:r>
      <w:r>
        <w:rPr>
          <w:rFonts w:ascii="Times New Roman" w:hAnsi="Times New Roman"/>
          <w:b w:val="false"/>
          <w:i w:val="false"/>
          <w:color w:val="000000"/>
          <w:sz w:val="22"/>
        </w:rPr>
        <w:t> </w:t>
      </w:r>
      <w:r>
        <w:rPr>
          <w:rFonts w:ascii="Times New Roman" w:hAnsi="Times New Roman"/>
          <w:b w:val="false"/>
          <w:i w:val="false"/>
          <w:color w:val="000000"/>
          <w:sz w:val="22"/>
        </w:rPr>
        <w:t>means a building or portion of a building in which motor vehicles are stored or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“Listed”</w:t>
      </w:r>
      <w:r>
        <w:rPr>
          <w:rFonts w:ascii="Times New Roman" w:hAnsi="Times New Roman"/>
          <w:b w:val="false"/>
          <w:i w:val="false"/>
          <w:color w:val="000000"/>
          <w:sz w:val="22"/>
        </w:rPr>
        <w:t> </w:t>
      </w:r>
      <w:r>
        <w:rPr>
          <w:rFonts w:ascii="Times New Roman" w:hAnsi="Times New Roman"/>
          <w:b w:val="false"/>
          <w:i w:val="false"/>
          <w:color w:val="000000"/>
          <w:sz w:val="22"/>
        </w:rPr>
        <w:t>means equipment, materials, products, or services included in a list published by an organization acceptable to the department or local fire code official and concerned with evaluation of products or services that maintains periodic inspection of production of listed equipment or materials or periodic evaluation of services and whose listing states either that the equipment, material, product or service meets identified standards or has been tested and found suitable for a specified purpose.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“Multiple-unit residential building”</w:t>
      </w:r>
      <w:r>
        <w:rPr>
          <w:rFonts w:ascii="Times New Roman" w:hAnsi="Times New Roman"/>
          <w:b w:val="false"/>
          <w:i w:val="false"/>
          <w:color w:val="000000"/>
          <w:sz w:val="22"/>
        </w:rPr>
        <w:t> </w:t>
      </w:r>
      <w:r>
        <w:rPr>
          <w:rFonts w:ascii="Times New Roman" w:hAnsi="Times New Roman"/>
          <w:b w:val="false"/>
          <w:i w:val="false"/>
          <w:color w:val="000000"/>
          <w:sz w:val="22"/>
        </w:rPr>
        <w:t>means a building that contains more than two dwelling units or sleeping units. “Multiple-unit residential building” includes but is not limited to condominiums, townhouses, co-ops, apartment houses or portions of a building or an apartment house, hotels, motels, dormitories, or rooming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“Open-ended corridor”</w:t>
      </w:r>
      <w:r>
        <w:rPr>
          <w:rFonts w:ascii="Times New Roman" w:hAnsi="Times New Roman"/>
          <w:b w:val="false"/>
          <w:i w:val="false"/>
          <w:color w:val="000000"/>
          <w:sz w:val="22"/>
        </w:rPr>
        <w:t> </w:t>
      </w:r>
      <w:r>
        <w:rPr>
          <w:rFonts w:ascii="Times New Roman" w:hAnsi="Times New Roman"/>
          <w:b w:val="false"/>
          <w:i w:val="false"/>
          <w:color w:val="000000"/>
          <w:sz w:val="22"/>
        </w:rPr>
        <w:t>means an interior corridor that is open on each end and connects to an exterior stairway or ramp at each end with no intervening doors or separation from the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“Single-family rental unit”</w:t>
      </w:r>
      <w:r>
        <w:rPr>
          <w:rFonts w:ascii="Times New Roman" w:hAnsi="Times New Roman"/>
          <w:b w:val="false"/>
          <w:i w:val="false"/>
          <w:color w:val="000000"/>
          <w:sz w:val="22"/>
        </w:rPr>
        <w:t> </w:t>
      </w:r>
      <w:r>
        <w:rPr>
          <w:rFonts w:ascii="Times New Roman" w:hAnsi="Times New Roman"/>
          <w:b w:val="false"/>
          <w:i w:val="false"/>
          <w:color w:val="000000"/>
          <w:sz w:val="22"/>
        </w:rPr>
        <w:t>means a building that contains not more than two dwelling units or sleeping units that are rented or leased for living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“Single-family residence”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“single-family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building that contains not more than two dwelling units that are used, or intended or designed to be used, for living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“Sleeping unit”</w:t>
      </w:r>
      <w:r>
        <w:rPr>
          <w:rFonts w:ascii="Times New Roman" w:hAnsi="Times New Roman"/>
          <w:b w:val="false"/>
          <w:i w:val="false"/>
          <w:color w:val="000000"/>
          <w:sz w:val="22"/>
        </w:rPr>
        <w:t> </w:t>
      </w:r>
      <w:r>
        <w:rPr>
          <w:rFonts w:ascii="Times New Roman" w:hAnsi="Times New Roman"/>
          <w:b w:val="false"/>
          <w:i w:val="false"/>
          <w:color w:val="000000"/>
          <w:sz w:val="22"/>
        </w:rPr>
        <w:t>means a room or space in a building in which people sleep, which can also include permanent provisions for living, eating, and either sanitation or kitchen facilities but not both. Such rooms and spaces that are also part of a dwelling unit are not sleeping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481—280.17</w:t>
      </w:r>
      <w:r>
        <w:rPr>
          <w:rFonts w:ascii="Times New Roman" w:hAnsi="Times New Roman"/>
          <w:b/>
          <w:i w:val="false"/>
          <w:color w:val="000000"/>
          <w:sz w:val="22"/>
        </w:rPr>
        <w:t xml:space="preserve">(10A) </w:t>
      </w:r>
      <w:r>
        <w:rPr>
          <w:rFonts w:ascii="Times New Roman" w:hAnsi="Times New Roman"/>
          <w:b/>
          <w:i w:val="false"/>
          <w:color w:val="000000"/>
          <w:sz w:val="22"/>
        </w:rPr>
        <w:t xml:space="preserve">Requirements for carbon monoxide alarms and detection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w:t>
      </w:r>
      <w:r>
        <w:rPr>
          <w:rFonts w:ascii="Times New Roman" w:hAnsi="Times New Roman"/>
          <w:b w:val="false"/>
          <w:i w:val="false"/>
          <w:color w:val="000000"/>
          <w:sz w:val="22"/>
        </w:rPr>
        <w:t> </w:t>
      </w:r>
      <w:r>
        <w:rPr>
          <w:rFonts w:ascii="Times New Roman" w:hAnsi="Times New Roman"/>
          <w:b w:val="false"/>
          <w:i/>
          <w:color w:val="000000"/>
          <w:sz w:val="22"/>
        </w:rPr>
        <w:t xml:space="preserve">Standards for carbon monoxide alarms and carbon monoxide detection systems. </w:t>
      </w:r>
      <w:r>
        <w:rPr>
          <w:rFonts w:ascii="Times New Roman" w:hAnsi="Times New Roman"/>
          <w:b w:val="false"/>
          <w:i w:val="false"/>
          <w:color w:val="000000"/>
          <w:sz w:val="22"/>
        </w:rPr>
        <w:t>All carbon monoxide alarms installed prior to July 1, 2025, shall meet the requirements of the NFPA Standard 720, 2012 edition, and be UL listed in accordance with UL 2034 edition 5 as revised August 7, 2024.  All carbon monoxide alarms installed after July 1, 2025, shall meet the requirements of the NFPA Standard 72, 2022 edition. All carbon monoxide detection systems installed prior to July 1, 2025, shall meet the requirements for the NFPA Standard 720, 2012 edition; display a label or other identification issued by an approved testing agency; and be UL listed in accordance with UL 2075 edition 2 as revised August 4, 2023.  All carbon monoxide detection systems installed after July 1, 2025, shall meet the requirements of the NFPA Standard 72, 2022 edition. All carbon monoxide alarms, combination carbon monoxide alarm/smoke alarms, and carbon monoxide detection systems installed under these rules must be listed with the 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280.17(2)</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alarms required. </w:t>
      </w:r>
      <w:r>
        <w:rPr>
          <w:rFonts w:ascii="Times New Roman" w:hAnsi="Times New Roman"/>
          <w:b w:val="false"/>
          <w:i w:val="false"/>
          <w:color w:val="000000"/>
          <w:sz w:val="22"/>
        </w:rPr>
        <w:t>Carbon monoxide alarms are required in the following buildings if the building is served by a fuel-burning heater, fuel-burning furnace, fuel-burning appliance, or fuel-burning fireplace or has an attached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Multiple-unit residential buildings and single-family residences for which construction began on or after July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single-family rental units, single-family residences, and multiple-unit residential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carbon monoxide alarm shall be installed in the following building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immediate vicinity of every room used for sleeping purposes in each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bedroom where a fuel-burning heater or furnace, fuel-burning appliance, or fireplace is located within the bedroom or its attached bathroom.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each sleeping unit, if the sleeping unit or its attached bathroom contains a fuel-burning appliance, fuel-burning heater or furnace, or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immediate vicinity of each sleeping unit where the sleeping unit or its attached bathroom does not contain a fuel-burning appliance, fuel-burning heater, or fireplace and is not served by a forced-air furnace.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280.17(4)</w:t>
      </w:r>
      <w:r>
        <w:rPr>
          <w:rFonts w:ascii="Times New Roman" w:hAnsi="Times New Roman"/>
          <w:b w:val="false"/>
          <w:i w:val="false"/>
          <w:color w:val="000000"/>
          <w:sz w:val="22"/>
        </w:rPr>
        <w:t> </w:t>
      </w:r>
      <w:r>
        <w:rPr>
          <w:rFonts w:ascii="Times New Roman" w:hAnsi="Times New Roman"/>
          <w:b w:val="false"/>
          <w:i/>
          <w:color w:val="000000"/>
          <w:sz w:val="22"/>
        </w:rPr>
        <w:t xml:space="preserve">Location exceptions. </w:t>
      </w:r>
      <w:r>
        <w:rPr>
          <w:rFonts w:ascii="Times New Roman" w:hAnsi="Times New Roman"/>
          <w:b w:val="false"/>
          <w:i w:val="false"/>
          <w:color w:val="000000"/>
          <w:sz w:val="22"/>
        </w:rPr>
        <w:t xml:space="preserve">A carbon monoxide alarm is not required in the locations specified by subrule </w:t>
      </w:r>
      <w:hyperlink r:id="rId76">
        <w:r>
          <w:rPr>
            <w:rStyle w:val="Hyperlink"/>
            <w:rFonts w:ascii="Times New Roman" w:hAnsi="Times New Roman"/>
            <w:b w:val="false"/>
            <w:i w:val="false"/>
            <w:color w:val="000000"/>
            <w:sz w:val="22"/>
          </w:rPr>
          <w:t>280.17(3)</w:t>
        </w:r>
      </w:hyperlink>
      <w:r>
        <w:rPr>
          <w:rFonts w:ascii="Times New Roman" w:hAnsi="Times New Roman"/>
          <w:b w:val="false"/>
          <w:i w:val="false"/>
          <w:color w:val="000000"/>
          <w:sz w:val="22"/>
        </w:rPr>
        <w:t xml:space="preserv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fireplace, or attached garage and a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or fireplace and a dwelling unit or sleeping unit and when a dwelling unit or sleeping unit is located more than one story above or below an attached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or fireplace and a sleeping unit or dwelling unit and the attached garage connects to the building through an open-ended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carbon monoxide alarm is located on the ceiling of the room containing the fuel-burning heater, fuel-burning appliance or fireplace, or in the first room or area between the fuel-burning heater, fuel-burning appliance or fireplace and the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280.17(5)</w:t>
      </w:r>
      <w:r>
        <w:rPr>
          <w:rFonts w:ascii="Times New Roman" w:hAnsi="Times New Roman"/>
          <w:b w:val="false"/>
          <w:i w:val="false"/>
          <w:color w:val="000000"/>
          <w:sz w:val="22"/>
        </w:rPr>
        <w:t> </w:t>
      </w:r>
      <w:r>
        <w:rPr>
          <w:rFonts w:ascii="Times New Roman" w:hAnsi="Times New Roman"/>
          <w:b w:val="false"/>
          <w:i/>
          <w:color w:val="000000"/>
          <w:sz w:val="22"/>
        </w:rPr>
        <w:t xml:space="preserve">Forced-air furnace—exception. </w:t>
      </w:r>
      <w:r>
        <w:rPr>
          <w:rFonts w:ascii="Times New Roman" w:hAnsi="Times New Roman"/>
          <w:b w:val="false"/>
          <w:i w:val="false"/>
          <w:color w:val="000000"/>
          <w:sz w:val="22"/>
        </w:rPr>
        <w:t>A carbon monoxide alarm is not required in a dwelling unit or sleeping unit that is served by a fuel-burning forced-air furnace when a carbon monoxide alarm is located on the ceiling of the room containing the forced-air furnace or in the first room or area served by each main duct leaving the forced-air furnace and the carbon monoxide alarm signals are automatically transmitted to the occupants of each dwelling unit or sleeping unit served by the forced-air furnace.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280.17(6)</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detection systems. </w:t>
      </w:r>
      <w:r>
        <w:rPr>
          <w:rFonts w:ascii="Times New Roman" w:hAnsi="Times New Roman"/>
          <w:b w:val="false"/>
          <w:i w:val="false"/>
          <w:color w:val="000000"/>
          <w:sz w:val="22"/>
        </w:rPr>
        <w:t>Commercially installed carbon monoxide detection systems that have the capability of notifying all occupants of dwelling units or sleeping units within a building are an acceptable alternative to the installation of carbon monoxide alarms and are deemed compliant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280.17(7)</w:t>
      </w:r>
      <w:r>
        <w:rPr>
          <w:rFonts w:ascii="Times New Roman" w:hAnsi="Times New Roman"/>
          <w:b w:val="false"/>
          <w:i w:val="false"/>
          <w:color w:val="000000"/>
          <w:sz w:val="22"/>
        </w:rPr>
        <w:t> </w:t>
      </w:r>
      <w:r>
        <w:rPr>
          <w:rFonts w:ascii="Times New Roman" w:hAnsi="Times New Roman"/>
          <w:b w:val="false"/>
          <w:i/>
          <w:color w:val="000000"/>
          <w:sz w:val="22"/>
        </w:rPr>
        <w:t xml:space="preserve">Combination alarms. </w:t>
      </w:r>
      <w:r>
        <w:rPr>
          <w:rFonts w:ascii="Times New Roman" w:hAnsi="Times New Roman"/>
          <w:b w:val="false"/>
          <w:i w:val="false"/>
          <w:color w:val="000000"/>
          <w:sz w:val="22"/>
        </w:rPr>
        <w:t>The carbon monoxide alarm may be combined with smoke detecting devices provided that the combined unit complies with pertinent provisions of this chapter regarding smoke detectors in addition to carbon monoxide alarm standards. A combined carbon monoxide alarm/smoke alarm shall emit different alarm signals for carbon monoxide and for smoke. Combination carbon monoxide alarm/smoke alarms are an acceptable alternative to carbon monoxide alarms.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280.17(8)</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construction—power source. </w:t>
      </w:r>
      <w:r>
        <w:rPr>
          <w:rFonts w:ascii="Times New Roman" w:hAnsi="Times New Roman"/>
          <w:b w:val="false"/>
          <w:i w:val="false"/>
          <w:color w:val="000000"/>
          <w:sz w:val="22"/>
        </w:rPr>
        <w:t>In buildings for which construction is begun on or after July 1, 2018, carbon monoxide alarms will receive their primary power from the building wiring when such wiring is served from a commercial source. Wiring will be permanent and without a disconnecting switch other than that required for overcurrent protection and will be equipped with a battery backup.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280.17(9)</w:t>
      </w:r>
      <w:r>
        <w:rPr>
          <w:rFonts w:ascii="Times New Roman" w:hAnsi="Times New Roman"/>
          <w:b w:val="false"/>
          <w:i w:val="false"/>
          <w:color w:val="000000"/>
          <w:sz w:val="22"/>
        </w:rPr>
        <w:t> </w:t>
      </w:r>
      <w:r>
        <w:rPr>
          <w:rFonts w:ascii="Times New Roman" w:hAnsi="Times New Roman"/>
          <w:b w:val="false"/>
          <w:i/>
          <w:color w:val="000000"/>
          <w:sz w:val="22"/>
        </w:rPr>
        <w:t xml:space="preserve">Existing buildings—power source. </w:t>
      </w:r>
      <w:r>
        <w:rPr>
          <w:rFonts w:ascii="Times New Roman" w:hAnsi="Times New Roman"/>
          <w:b w:val="false"/>
          <w:i w:val="false"/>
          <w:color w:val="000000"/>
          <w:sz w:val="22"/>
        </w:rPr>
        <w:t>New and replacement carbon monoxide alarms installed in existing buildings may be solely battery operated or may plug into an electrical socket and have a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280.17(10)</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installation and maintenance of carbon monoxide alarms. </w:t>
      </w:r>
      <w:r>
        <w:rPr>
          <w:rFonts w:ascii="Times New Roman" w:hAnsi="Times New Roman"/>
          <w:b w:val="false"/>
          <w:i w:val="false"/>
          <w:color w:val="000000"/>
          <w:sz w:val="22"/>
        </w:rPr>
        <w:t xml:space="preserve">It is the responsibility of the owner, owner’s agent, or manager of a multiple-unit residential building, single-family residence, or single-family rental unit to install carbon monoxide alarms in accordance with this chapter. However, if a dwelling unit in a multiple-unit residential building qualifies for a homestead credit pursuant to Iowa Code chapter </w:t>
      </w:r>
      <w:hyperlink r:id="rId77">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only the owner-occupant of the dwelling unit has the responsibility to install and maintain carbon monoxide alarms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280.17(11)</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carbon monoxide alarms.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owner of a multiple-unit residential building, single-family rental unit, or dwelling unit to supply and install all required carbon monoxide alarms and to ensure that the batteries are in operating condition at the time the lessee, tenant, guest, or roomer takes possession of the dwelling unit or sleeping unit. The owner is responsible for providing written information regarding carbon monoxide alarm testing and maintenance to one lessee, tenant, guest, or roomer per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manager may require a lessee, tenant, guest, or roomer who has a residency longer than 30 days to be responsible for general maintenance, including but not limited to replacement of any required batteries of the carbon monoxide alarms and testing the carbon monoxide alarms in the lessee’s, tenant’s, guest’s, or roomer’s dwelling unit or sleeping unit. The lessee, tenant, guest, or roomer is responsible for notifying the owner or manager in writing of any deficiencies that the lessee, tenant, guest, or roomer cannot correct and providing the owner or manager access to the dwelling unit or sleeping unit so that deficiencies can be corrected.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280.17(12)</w:t>
      </w:r>
      <w:r>
        <w:rPr>
          <w:rFonts w:ascii="Times New Roman" w:hAnsi="Times New Roman"/>
          <w:b w:val="false"/>
          <w:i w:val="false"/>
          <w:color w:val="000000"/>
          <w:sz w:val="22"/>
        </w:rPr>
        <w:t> </w:t>
      </w:r>
      <w:r>
        <w:rPr>
          <w:rFonts w:ascii="Times New Roman" w:hAnsi="Times New Roman"/>
          <w:b w:val="false"/>
          <w:i/>
          <w:color w:val="000000"/>
          <w:sz w:val="22"/>
        </w:rPr>
        <w:t xml:space="preserve">Deaf or hard-of-hearing tenant. </w:t>
      </w:r>
      <w:r>
        <w:rPr>
          <w:rFonts w:ascii="Times New Roman" w:hAnsi="Times New Roman"/>
          <w:b w:val="false"/>
          <w:i w:val="false"/>
          <w:color w:val="000000"/>
          <w:sz w:val="22"/>
        </w:rPr>
        <w:t>Upon request of a tenant who is deaf or hard of hearing, an owner of a multiple-unit residential building or a single-family rental unit that has a fuel-fired heater or appliance, a fireplace, or an attached garage, or the owner’s agent, shall install light-emitting carbon monoxide alarms.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required. </w:t>
      </w:r>
      <w:r>
        <w:rPr>
          <w:rFonts w:ascii="Times New Roman" w:hAnsi="Times New Roman"/>
          <w:b w:val="false"/>
          <w:i w:val="false"/>
          <w:color w:val="000000"/>
          <w:sz w:val="22"/>
        </w:rPr>
        <w:t xml:space="preserve">A person who files for a homestead credit pursuant to Iowa Code chapter </w:t>
      </w:r>
      <w:hyperlink r:id="rId78">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will certify that the dwelling unit that has a fuel-fired heater or furnace, a fuel-fired appliance, a fireplace, or an attached garage has carbon monoxide alarms installed in compliance with this chapter or that such alarms will be installed within 30 days of the date the filing for the credit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280.17(14)</w:t>
      </w:r>
      <w:r>
        <w:rPr>
          <w:rFonts w:ascii="Times New Roman" w:hAnsi="Times New Roman"/>
          <w:b w:val="false"/>
          <w:i w:val="false"/>
          <w:color w:val="000000"/>
          <w:sz w:val="22"/>
        </w:rPr>
        <w:t> </w:t>
      </w:r>
      <w:r>
        <w:rPr>
          <w:rFonts w:ascii="Times New Roman" w:hAnsi="Times New Roman"/>
          <w:b w:val="false"/>
          <w:i/>
          <w:color w:val="000000"/>
          <w:sz w:val="22"/>
        </w:rPr>
        <w:t xml:space="preserve">Inspections authorized. </w:t>
      </w:r>
      <w:r>
        <w:rPr>
          <w:rFonts w:ascii="Times New Roman" w:hAnsi="Times New Roman"/>
          <w:b w:val="false"/>
          <w:i w:val="false"/>
          <w:color w:val="000000"/>
          <w:sz w:val="22"/>
        </w:rPr>
        <w:t>Inspections may be conducted by the director; the director’s subordinates; chiefs of local fire departments; state or local building inspectors; or other fire, building, or safety officials authorized by the director. Any inspections authorized under this rule are limited to the placement, repair, and operability of carbon monoxide alarms and carbon monoxide detection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280.17(15)</w:t>
      </w:r>
      <w:r>
        <w:rPr>
          <w:rFonts w:ascii="Times New Roman" w:hAnsi="Times New Roman"/>
          <w:b w:val="false"/>
          <w:i w:val="false"/>
          <w:color w:val="000000"/>
          <w:sz w:val="22"/>
        </w:rPr>
        <w:t> </w:t>
      </w:r>
      <w:r>
        <w:rPr>
          <w:rFonts w:ascii="Times New Roman" w:hAnsi="Times New Roman"/>
          <w:b w:val="false"/>
          <w:i/>
          <w:color w:val="000000"/>
          <w:sz w:val="22"/>
        </w:rPr>
        <w:t xml:space="preserve">Inoperable carbon monoxide alarms and corrective action. </w:t>
      </w:r>
      <w:r>
        <w:rPr>
          <w:rFonts w:ascii="Times New Roman" w:hAnsi="Times New Roman"/>
          <w:b w:val="false"/>
          <w:i w:val="false"/>
          <w:color w:val="000000"/>
          <w:sz w:val="22"/>
        </w:rPr>
        <w:t xml:space="preserve">Upon receiving written notification by a lessee, tenant, guest, or roomer or by the director; director’s subordinates; state fire marshal; fire marshal’s subordinates; a chief of a local fire department; a building inspector; or other fire, building or safety official that a carbon monoxide alarm is inoperable, the owner or manager of the multiple-unit residential building or single-family rental unit shall repair or replace the carbon monoxide alarm within 30 days. If the owner or manager fails to correct the situation within the 30 days after receipt of written notice, the tenant, guest, or roomer may cause the carbon monoxide alarm to be repaired or may purchase and install a carbon monoxide alarm required under this chapter and may deduct the repair cost or purchase price from the next rental payment or payments made by the tenant, guest, or roomer in accordance with Iowa Code section </w:t>
      </w:r>
      <w:hyperlink r:id="rId79">
        <w:r>
          <w:rPr>
            <w:rStyle w:val="Hyperlink"/>
            <w:rFonts w:ascii="Times New Roman" w:hAnsi="Times New Roman"/>
            <w:b w:val="false"/>
            <w:i w:val="false"/>
            <w:color w:val="000000"/>
            <w:sz w:val="22"/>
          </w:rPr>
          <w:t>10A.518(7)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0">
        <w:r>
          <w:rPr>
            <w:rStyle w:val="Hyperlink"/>
            <w:rFonts w:ascii="Times New Roman" w:hAnsi="Times New Roman"/>
            <w:b w:val="false"/>
            <w:i w:val="false"/>
            <w:color w:val="000000"/>
            <w:sz w:val="22"/>
          </w:rPr>
          <w:t>10A.511</w:t>
        </w:r>
      </w:hyperlink>
      <w:r>
        <w:rPr>
          <w:rFonts w:ascii="Times New Roman" w:hAnsi="Times New Roman"/>
          <w:b w:val="false"/>
          <w:i w:val="false"/>
          <w:color w:val="000000"/>
          <w:sz w:val="22"/>
        </w:rPr>
        <w:t xml:space="preserve"> through </w:t>
      </w:r>
      <w:hyperlink r:id="rId81">
        <w:r>
          <w:rPr>
            <w:rStyle w:val="Hyperlink"/>
            <w:rFonts w:ascii="Times New Roman" w:hAnsi="Times New Roman"/>
            <w:b w:val="false"/>
            <w:i w:val="false"/>
            <w:color w:val="000000"/>
            <w:sz w:val="22"/>
          </w:rPr>
          <w:t>10A.525</w:t>
        </w:r>
      </w:hyperlink>
      <w:r>
        <w:rPr>
          <w:rFonts w:ascii="Times New Roman" w:hAnsi="Times New Roman"/>
          <w:b w:val="false"/>
          <w:i w:val="false"/>
          <w:color w:val="000000"/>
          <w:sz w:val="22"/>
        </w:rPr>
        <w:t xml:space="preserve"> and chapters </w:t>
      </w:r>
      <w:hyperlink r:id="rId8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8307B</w:t>
      </w:r>
      <w:r>
        <w:rPr>
          <w:rFonts w:ascii="Times New Roman" w:hAnsi="Times New Roman"/>
          <w:b w:val="false"/>
          <w:i w:val="false"/>
          <w:color w:val="000000"/>
          <w:sz w:val="21"/>
        </w:rPr>
        <w:t xml:space="preserve"> (Notice ARC 8156B,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9769B</w:t>
      </w:r>
      <w:r>
        <w:rPr>
          <w:rFonts w:ascii="Times New Roman" w:hAnsi="Times New Roman"/>
          <w:b w:val="false"/>
          <w:i w:val="false"/>
          <w:color w:val="000000"/>
          <w:sz w:val="21"/>
        </w:rPr>
        <w:t xml:space="preserve"> (Notice ARC 9561B,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9827B</w:t>
      </w:r>
      <w:r>
        <w:rPr>
          <w:rFonts w:ascii="Times New Roman" w:hAnsi="Times New Roman"/>
          <w:b w:val="false"/>
          <w:i w:val="false"/>
          <w:color w:val="000000"/>
          <w:sz w:val="21"/>
        </w:rPr>
        <w:t xml:space="preserve"> (Notice ARC 9628B,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2494C</w:t>
      </w:r>
      <w:r>
        <w:rPr>
          <w:rFonts w:ascii="Times New Roman" w:hAnsi="Times New Roman"/>
          <w:b w:val="false"/>
          <w:i w:val="false"/>
          <w:color w:val="000000"/>
          <w:sz w:val="21"/>
        </w:rPr>
        <w:t xml:space="preserve"> (Notice ARC 2266C,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9472C</w:t>
      </w:r>
      <w:r>
        <w:rPr>
          <w:rFonts w:ascii="Times New Roman" w:hAnsi="Times New Roman"/>
          <w:b w:val="false"/>
          <w:i w:val="false"/>
          <w:color w:val="000000"/>
          <w:sz w:val="21"/>
        </w:rPr>
        <w:t xml:space="preserve"> (Notice ARC 9047C,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0246D</w:t>
      </w:r>
      <w:r>
        <w:rPr>
          <w:rFonts w:ascii="Times New Roman" w:hAnsi="Times New Roman"/>
          <w:b w:val="false"/>
          <w:i w:val="false"/>
          <w:color w:val="000000"/>
          <w:sz w:val="21"/>
        </w:rPr>
        <w:t xml:space="preserve"> (Notice ARC 0083D, IAB 3/4/26)</w:t>
      </w:r>
      <w:r>
        <w:rPr>
          <w:rFonts w:ascii="Times New Roman" w:hAnsi="Times New Roman"/>
          <w:b w:val="false"/>
          <w:i w:val="false"/>
          <w:color w:val="000000"/>
          <w:sz w:val="21"/>
        </w:rPr>
        <w:t>, IAB 4/29/26, effective 6/3/26]</w:t>
      </w:r>
    </w:p>
    <w:sectPr>
      <w:footerReference r:id="rId8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pdf" Type="http://schemas.openxmlformats.org/officeDocument/2006/relationships/hyperlink" Id="rId5"/>
    <Relationship TargetMode="External" Target="http://dial.iowa.gov" Type="http://schemas.openxmlformats.org/officeDocument/2006/relationships/hyperlink" Id="rId6"/>
    <Relationship TargetMode="External" Target="mailto:fire.inspections@dia.iowa.gov"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10A.101.pdf" Type="http://schemas.openxmlformats.org/officeDocument/2006/relationships/hyperlink" Id="rId9"/>
    <Relationship TargetMode="External" Target="https://www.legis.iowa.gov/docs/ico/chapter/135R.1.pdf" Type="http://schemas.openxmlformats.org/officeDocument/2006/relationships/hyperlink" Id="rId10"/>
    <Relationship TargetMode="External" Target="https://www.legis.iowa.gov/docs/ico/chapter/135J.2.pdf" Type="http://schemas.openxmlformats.org/officeDocument/2006/relationships/hyperlink" Id="rId11"/>
    <Relationship TargetMode="External" Target="https://www.legis.iowa.gov/docs/ico/chapter/135B.pdf" Type="http://schemas.openxmlformats.org/officeDocument/2006/relationships/hyperlink" Id="rId12"/>
    <Relationship TargetMode="External" Target="https://www.legis.iowa.gov/docs/ico/chapter/135C.6.pdf" Type="http://schemas.openxmlformats.org/officeDocument/2006/relationships/hyperlink" Id="rId13"/>
    <Relationship TargetMode="External" Target="https://www.legis.iowa.gov/docs/ico/chapter/135C.1.pdf" Type="http://schemas.openxmlformats.org/officeDocument/2006/relationships/hyperlink" Id="rId14"/>
    <Relationship TargetMode="External" Target="http://www.nfpa.org" Type="http://schemas.openxmlformats.org/officeDocument/2006/relationships/hyperlink" Id="rId15"/>
    <Relationship TargetMode="External" Target="https://www.legis.iowa.gov/docs/ico/chapter/135C.1.pdf" Type="http://schemas.openxmlformats.org/officeDocument/2006/relationships/hyperlink" Id="rId16"/>
    <Relationship TargetMode="External" Target="https://www.legis.iowa.gov/docs/iac/rule/481.300.4.pdf" Type="http://schemas.openxmlformats.org/officeDocument/2006/relationships/hyperlink" Id="rId17"/>
    <Relationship TargetMode="External" Target="https://www.legis.iowa.gov/docs/iac/rule/481.280.11.pdf" Type="http://schemas.openxmlformats.org/officeDocument/2006/relationships/hyperlink" Id="rId18"/>
    <Relationship TargetMode="External" Target="https://www.legis.iowa.gov/docs/ico/chapter/542B.pdf" Type="http://schemas.openxmlformats.org/officeDocument/2006/relationships/hyperlink" Id="rId19"/>
    <Relationship TargetMode="External" Target="https://www.legis.iowa.gov/docs/ico/chapter/544A.pdf" Type="http://schemas.openxmlformats.org/officeDocument/2006/relationships/hyperlink" Id="rId20"/>
    <Relationship TargetMode="External" Target="https://www.legis.iowa.gov/docs/iac/rule/481.300.4.pdf" Type="http://schemas.openxmlformats.org/officeDocument/2006/relationships/hyperlink" Id="rId21"/>
    <Relationship TargetMode="External" Target="https://www.legis.iowa.gov/docs/iac/rule/481.300.4.pdf" Type="http://schemas.openxmlformats.org/officeDocument/2006/relationships/hyperlink" Id="rId22"/>
    <Relationship TargetMode="External" Target="https://www.legis.iowa.gov/docs/ico/chapter/100C.pdf" Type="http://schemas.openxmlformats.org/officeDocument/2006/relationships/hyperlink" Id="rId23"/>
    <Relationship TargetMode="External" Target="https://www.legis.iowa.gov/docs/ico/chapter/10A.51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chapter/481.9.pdf" Type="http://schemas.openxmlformats.org/officeDocument/2006/relationships/hyperlink" Id="rId26"/>
    <Relationship TargetMode="External" Target="https://www.legis.iowa.gov/docs/iac/chapter/481.10.pdf" Type="http://schemas.openxmlformats.org/officeDocument/2006/relationships/hyperlink" Id="rId27"/>
    <Relationship TargetMode="External" Target="https://www.legis.iowa.gov/docs/iac/rule/481.300.4.pdf" Type="http://schemas.openxmlformats.org/officeDocument/2006/relationships/hyperlink" Id="rId28"/>
    <Relationship TargetMode="External" Target="https://www.legis.iowa.gov/docs/ico/chapter/10A.512.pdf" Type="http://schemas.openxmlformats.org/officeDocument/2006/relationships/hyperlink" Id="rId29"/>
    <Relationship TargetMode="External" Target="https://www.legis.iowa.gov/docs/ico/chapter/10A.514.pdf" Type="http://schemas.openxmlformats.org/officeDocument/2006/relationships/hyperlink" Id="rId30"/>
    <Relationship TargetMode="External" Target="https://www.legis.iowa.gov/docs/iac/rule/481.280.3.pdf" Type="http://schemas.openxmlformats.org/officeDocument/2006/relationships/hyperlink" Id="rId31"/>
    <Relationship TargetMode="External" Target="https://www.legis.iowa.gov/docs/ico/chapter/135B.pdf" Type="http://schemas.openxmlformats.org/officeDocument/2006/relationships/hyperlink" Id="rId32"/>
    <Relationship TargetMode="External" Target="https://www.legis.iowa.gov/docs/ico/chapter/135C.pdf" Type="http://schemas.openxmlformats.org/officeDocument/2006/relationships/hyperlink" Id="rId33"/>
    <Relationship TargetMode="External" Target="https://www.legis.iowa.gov/docs/ico/chapter/231B.pdf" Type="http://schemas.openxmlformats.org/officeDocument/2006/relationships/hyperlink" Id="rId34"/>
    <Relationship TargetMode="External" Target="https://www.legis.iowa.gov/docs/ico/chapter/231C.pdf" Type="http://schemas.openxmlformats.org/officeDocument/2006/relationships/hyperlink" Id="rId35"/>
    <Relationship TargetMode="External" Target="https://www.legis.iowa.gov/docs/ico/chapter/231D.pdf" Type="http://schemas.openxmlformats.org/officeDocument/2006/relationships/hyperlink" Id="rId36"/>
    <Relationship TargetMode="External" Target="https://www.legis.iowa.gov/docs/ico/chapter/237A.pdf" Type="http://schemas.openxmlformats.org/officeDocument/2006/relationships/hyperlink" Id="rId37"/>
    <Relationship TargetMode="External" Target="https://www.legis.iowa.gov/docs/iac/rule/481.280.3.pdf" Type="http://schemas.openxmlformats.org/officeDocument/2006/relationships/hyperlink" Id="rId38"/>
    <Relationship TargetMode="External" Target="https://www.legis.iowa.gov/docs/ico/chapter/10A.522.pdf" Type="http://schemas.openxmlformats.org/officeDocument/2006/relationships/hyperlink" Id="rId39"/>
    <Relationship TargetMode="External" Target="https://www.legis.iowa.gov/docs/ico/chapter/10A.515.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0A.515.pdf" Type="http://schemas.openxmlformats.org/officeDocument/2006/relationships/hyperlink" Id="rId42"/>
    <Relationship TargetMode="External" Target="https://www.legis.iowa.gov/docs/iac/rule/481.280.3.pdf" Type="http://schemas.openxmlformats.org/officeDocument/2006/relationships/hyperlink" Id="rId43"/>
    <Relationship TargetMode="External" Target="https://www.legis.iowa.gov/docs/ico/chapter/10A.515.pdf" Type="http://schemas.openxmlformats.org/officeDocument/2006/relationships/hyperlink" Id="rId44"/>
    <Relationship TargetMode="External" Target="https://www.legis.iowa.gov/docs/ico/chapter/10A.516.pdf" Type="http://schemas.openxmlformats.org/officeDocument/2006/relationships/hyperlink" Id="rId45"/>
    <Relationship TargetMode="External" Target="http://www.iccsafe.org" Type="http://schemas.openxmlformats.org/officeDocument/2006/relationships/hyperlink" Id="rId46"/>
    <Relationship TargetMode="External" Target="https://www.legis.iowa.gov/docs/ico/chapter/10A.522.pdf" Type="http://schemas.openxmlformats.org/officeDocument/2006/relationships/hyperlink" Id="rId47"/>
    <Relationship TargetMode="External" Target="https://www.legis.iowa.gov/docs/iac/rule/481.301.3.pdf" Type="http://schemas.openxmlformats.org/officeDocument/2006/relationships/hyperlink" Id="rId48"/>
    <Relationship TargetMode="External" Target="https://www.legis.iowa.gov/docs/iac/chapter/481.404.pdf" Type="http://schemas.openxmlformats.org/officeDocument/2006/relationships/hyperlink" Id="rId49"/>
    <Relationship TargetMode="External" Target="https://www.legis.iowa.gov/docs/iac/chapter/481.404.pdf" Type="http://schemas.openxmlformats.org/officeDocument/2006/relationships/hyperlink" Id="rId50"/>
    <Relationship TargetMode="External" Target="https://www.legis.iowa.gov/docs/iac/rule/481.301.3.pdf" Type="http://schemas.openxmlformats.org/officeDocument/2006/relationships/hyperlink" Id="rId51"/>
    <Relationship TargetMode="External" Target="https://www.legis.iowa.gov/docs/iac/rule/481.301.7.pdf" Type="http://schemas.openxmlformats.org/officeDocument/2006/relationships/hyperlink" Id="rId52"/>
    <Relationship TargetMode="External" Target="https://www.legis.iowa.gov/docs/iac/rule/481.280.14.pdf" Type="http://schemas.openxmlformats.org/officeDocument/2006/relationships/hyperlink" Id="rId53"/>
    <Relationship TargetMode="External" Target="https://www.legis.iowa.gov/docs/iac/chapter/481.282.pdf" Type="http://schemas.openxmlformats.org/officeDocument/2006/relationships/hyperlink" Id="rId54"/>
    <Relationship TargetMode="External" Target="https://www.legis.iowa.gov/docs/iac/rule/481.280.8.pdf" Type="http://schemas.openxmlformats.org/officeDocument/2006/relationships/hyperlink" Id="rId55"/>
    <Relationship TargetMode="External" Target="https://www.legis.iowa.gov/docs/iac/rule/481.280.11.pdf" Type="http://schemas.openxmlformats.org/officeDocument/2006/relationships/hyperlink" Id="rId56"/>
    <Relationship TargetMode="External" Target="https://www.legis.iowa.gov/docs/iac/rule/481.280.14.pdf" Type="http://schemas.openxmlformats.org/officeDocument/2006/relationships/hyperlink" Id="rId57"/>
    <Relationship TargetMode="External" Target="https://www.legis.iowa.gov/docs/ico/chapter/135C.2.pdf" Type="http://schemas.openxmlformats.org/officeDocument/2006/relationships/hyperlink" Id="rId58"/>
    <Relationship TargetMode="External" Target="https://www.legis.iowa.gov/docs/iac/chapter/481.63.pdf" Type="http://schemas.openxmlformats.org/officeDocument/2006/relationships/hyperlink" Id="rId59"/>
    <Relationship TargetMode="External" Target="https://www.legis.iowa.gov/docs/ico/chapter/237.pdf" Type="http://schemas.openxmlformats.org/officeDocument/2006/relationships/hyperlink" Id="rId60"/>
    <Relationship TargetMode="External" Target="https://www.legis.iowa.gov/docs/iac/rule/481.280.8.pdf" Type="http://schemas.openxmlformats.org/officeDocument/2006/relationships/hyperlink" Id="rId61"/>
    <Relationship TargetMode="External" Target="https://www.legis.iowa.gov/docs/iac/rule/481.280.8.pdf" Type="http://schemas.openxmlformats.org/officeDocument/2006/relationships/hyperlink" Id="rId62"/>
    <Relationship TargetMode="External" Target="https://www.legis.iowa.gov/docs/iac/rule/481.280.8.pdf" Type="http://schemas.openxmlformats.org/officeDocument/2006/relationships/hyperlink" Id="rId63"/>
    <Relationship TargetMode="External" Target="https://www.legis.iowa.gov/docs/iac/rule/481.280.8.pdf" Type="http://schemas.openxmlformats.org/officeDocument/2006/relationships/hyperlink" Id="rId64"/>
    <Relationship TargetMode="External" Target="https://www.legis.iowa.gov/docs/iac/rule/481.280.10.pdf" Type="http://schemas.openxmlformats.org/officeDocument/2006/relationships/hyperlink" Id="rId65"/>
    <Relationship TargetMode="External" Target="https://www.legis.iowa.gov/docs/iac/rule/481.280.12.pdf" Type="http://schemas.openxmlformats.org/officeDocument/2006/relationships/hyperlink" Id="rId66"/>
    <Relationship TargetMode="External" Target="https://www.legis.iowa.gov/docs/iac/rule/481.280.13.pdf" Type="http://schemas.openxmlformats.org/officeDocument/2006/relationships/hyperlink" Id="rId67"/>
    <Relationship TargetMode="External" Target="https://www.legis.iowa.gov/docs/iac/rule/481.280.14.pdf" Type="http://schemas.openxmlformats.org/officeDocument/2006/relationships/hyperlink" Id="rId68"/>
    <Relationship TargetMode="External" Target="https://www.legis.iowa.gov/docs/iac/chapter/481.404.pdf" Type="http://schemas.openxmlformats.org/officeDocument/2006/relationships/hyperlink" Id="rId69"/>
    <Relationship TargetMode="External" Target="https://www.legis.iowa.gov/docs/ico/chapter/425.pdf" Type="http://schemas.openxmlformats.org/officeDocument/2006/relationships/hyperlink" Id="rId70"/>
    <Relationship TargetMode="External" Target="https://www.legis.iowa.gov/docs/iac/rule/481.280.15.pdf" Type="http://schemas.openxmlformats.org/officeDocument/2006/relationships/hyperlink" Id="rId71"/>
    <Relationship TargetMode="External" Target="https://www.legis.iowa.gov/docs/iac/rule/481.280.15.pdf" Type="http://schemas.openxmlformats.org/officeDocument/2006/relationships/hyperlink" Id="rId72"/>
    <Relationship TargetMode="External" Target="https://www.legis.iowa.gov/docs/iac/rule/481.280.15.pdf" Type="http://schemas.openxmlformats.org/officeDocument/2006/relationships/hyperlink" Id="rId73"/>
    <Relationship TargetMode="External" Target="https://www.legis.iowa.gov/docs/iac/rule/481.280.16.pdf" Type="http://schemas.openxmlformats.org/officeDocument/2006/relationships/hyperlink" Id="rId74"/>
    <Relationship TargetMode="External" Target="https://www.legis.iowa.gov/docs/iac/rule/481.280.17.pdf" Type="http://schemas.openxmlformats.org/officeDocument/2006/relationships/hyperlink" Id="rId75"/>
    <Relationship TargetMode="External" Target="https://www.legis.iowa.gov/docs/iac/rule/481.280.17.pdf" Type="http://schemas.openxmlformats.org/officeDocument/2006/relationships/hyperlink" Id="rId76"/>
    <Relationship TargetMode="External" Target="https://www.legis.iowa.gov/docs/ico/chapter/425.pdf" Type="http://schemas.openxmlformats.org/officeDocument/2006/relationships/hyperlink" Id="rId77"/>
    <Relationship TargetMode="External" Target="https://www.legis.iowa.gov/docs/ico/chapter/425.pdf" Type="http://schemas.openxmlformats.org/officeDocument/2006/relationships/hyperlink" Id="rId78"/>
    <Relationship TargetMode="External" Target="https://www.legis.iowa.gov/docs/ico/chapter/10A.518.pdf" Type="http://schemas.openxmlformats.org/officeDocument/2006/relationships/hyperlink" Id="rId79"/>
    <Relationship TargetMode="External" Target="https://www.legis.iowa.gov/docs/ico/chapter/10A.511.pdf" Type="http://schemas.openxmlformats.org/officeDocument/2006/relationships/hyperlink" Id="rId80"/>
    <Relationship TargetMode="External" Target="https://www.legis.iowa.gov/docs/ico/chapter/10A.525.pdf" Type="http://schemas.openxmlformats.org/officeDocument/2006/relationships/hyperlink" Id="rId81"/>
    <Relationship TargetMode="External" Target="https://www.legis.iowa.gov/docs/ico/chapter/135B.pdf" Type="http://schemas.openxmlformats.org/officeDocument/2006/relationships/hyperlink" Id="rId82"/>
    <Relationship TargetMode="External" Target="https://www.legis.iowa.gov/docs/ico/chapter/135C.pdf" Type="http://schemas.openxmlformats.org/officeDocument/2006/relationships/hyperlink" Id="rId83"/>
    <Relationship TargetMode="External" Target="https://www.legis.iowa.gov/docs/ico/chapter/135J.pdf" Type="http://schemas.openxmlformats.org/officeDocument/2006/relationships/hyperlink" Id="rId84"/>
    <Relationship TargetMode="External" Target="https://www.legis.iowa.gov/docs/ico/chapter/231C.pdf" Type="http://schemas.openxmlformats.org/officeDocument/2006/relationships/hyperlink" Id="rId85"/>
    <Relationship TargetMode="External" Target="https://www.legis.iowa.gov/docs/ico/chapter/237.pdf" Type="http://schemas.openxmlformats.org/officeDocument/2006/relationships/hyperlink" Id="rId86"/>
    <Relationship Target="footer.xml" Type="http://schemas.openxmlformats.org/officeDocument/2006/relationships/footer" Id="rId8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