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268</w:t>
      </w:r>
    </w:p>
    <w:p>
      <w:pPr>
        <w:spacing w:before="0" w:after="0"/>
        <w:ind w:left="120"/>
        <w:jc w:val="center"/>
      </w:pPr>
      <w:r>
        <w:rPr>
          <w:rFonts w:ascii="Times New Roman" w:hAnsi="Times New Roman"/>
          <w:b w:val="false"/>
          <w:i w:val="false"/>
          <w:color w:val="000000"/>
          <w:sz w:val="21"/>
        </w:rPr>
        <w:t xml:space="preserve">MANUFACTURING, STORAGE, HANDLING, USE OF EXPLOSIVE MATERIALS, </w:t>
      </w:r>
      <w:r>
        <w:br/>
      </w:r>
      <w:r>
        <w:rPr>
          <w:rFonts w:ascii="Times New Roman" w:hAnsi="Times New Roman"/>
          <w:b w:val="false"/>
          <w:i w:val="false"/>
          <w:color w:val="000000"/>
          <w:sz w:val="21"/>
        </w:rPr>
        <w:t>AND LICENSING FOR COMMERCIAL EXPLOSIVE CONTRACTORS AND BLASTERS</w:t>
      </w:r>
    </w:p>
    <w:p>
      <w:pPr>
        <w:spacing w:before="0" w:after="0"/>
        <w:ind w:left="120"/>
        <w:jc w:val="center"/>
      </w:pPr>
      <w:r>
        <w:rPr>
          <w:rFonts w:ascii="Times New Roman" w:hAnsi="Times New Roman"/>
          <w:b w:val="false"/>
          <w:i w:val="false"/>
          <w:color w:val="000000"/>
          <w:sz w:val="14"/>
        </w:rPr>
        <w:t>[Prior to 7/9/25, see Public Safety Department[661] Ch 231]</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Any person who purchases, possesses, transports, stores, or uses explosive materials must comply with all applicable federal laws and regulations as well as with Iowa Code chapter 101A and this chapter.</w:t>
      </w:r>
    </w:p>
    <w:p>
      <w:pPr>
        <w:spacing w:before="0" w:after="0"/>
        <w:ind w:left="120"/>
        <w:jc w:val="both"/>
      </w:pPr>
      <w:r>
        <w:rPr>
          <w:rFonts w:ascii="Times New Roman" w:hAnsi="Times New Roman"/>
          <w:b/>
          <w:i w:val="false"/>
          <w:color w:val="000000"/>
          <w:sz w:val="22"/>
        </w:rPr>
        <w:t>481—268.1</w:t>
      </w:r>
      <w:r>
        <w:rPr>
          <w:rFonts w:ascii="Times New Roman" w:hAnsi="Times New Roman"/>
          <w:b/>
          <w:i w:val="false"/>
          <w:color w:val="000000"/>
          <w:sz w:val="22"/>
        </w:rPr>
        <w:t xml:space="preserve">(101A) </w:t>
      </w:r>
      <w:r>
        <w:rPr>
          <w:rFonts w:ascii="Times New Roman" w:hAnsi="Times New Roman"/>
          <w:b/>
          <w:i w:val="false"/>
          <w:color w:val="000000"/>
          <w:sz w:val="22"/>
        </w:rPr>
        <w:t xml:space="preserve">Explosive materials. </w:t>
      </w:r>
      <w:r>
        <w:rPr>
          <w:rFonts w:ascii="Times New Roman" w:hAnsi="Times New Roman"/>
          <w:b w:val="false"/>
          <w:i w:val="false"/>
          <w:color w:val="000000"/>
          <w:sz w:val="22"/>
        </w:rPr>
        <w:t>NFPA 495, “Explosive Materials Code,” 2023 edition, is hereby adopted by reference as the rules governing the manufacture, transportation, storage, and use of explosive materials in the state of Iowa, with the following amendments:</w:t>
      </w:r>
    </w:p>
    <w:p>
      <w:pPr>
        <w:spacing w:before="0" w:after="0"/>
        <w:ind w:left="120"/>
        <w:jc w:val="both"/>
      </w:pPr>
      <w:r>
        <w:rPr>
          <w:rFonts w:ascii="Times New Roman" w:hAnsi="Times New Roman"/>
          <w:b w:val="false"/>
          <w:i w:val="false"/>
          <w:color w:val="000000"/>
          <w:sz w:val="22"/>
        </w:rPr>
        <w:t>Delete the phrase “authority having jurisdiction” wherever it occurs and insert in lieu thereof the word “director.”</w:t>
      </w:r>
    </w:p>
    <w:p>
      <w:pPr>
        <w:spacing w:before="0" w:after="0"/>
        <w:ind w:left="120"/>
        <w:jc w:val="both"/>
      </w:pPr>
      <w:r>
        <w:rPr>
          <w:rFonts w:ascii="Times New Roman" w:hAnsi="Times New Roman"/>
          <w:b w:val="false"/>
          <w:i w:val="false"/>
          <w:color w:val="000000"/>
          <w:sz w:val="22"/>
        </w:rPr>
        <w:t>Delete the phrases “issuing authority” and “permit-issuing authority” wherever they occur and insert in lieu thereof the word “director.”</w:t>
      </w:r>
    </w:p>
    <w:p>
      <w:pPr>
        <w:spacing w:before="0" w:after="0"/>
        <w:ind w:left="120"/>
        <w:jc w:val="both"/>
      </w:pPr>
      <w:r>
        <w:rPr>
          <w:rFonts w:ascii="Times New Roman" w:hAnsi="Times New Roman"/>
          <w:b w:val="false"/>
          <w:i w:val="false"/>
          <w:color w:val="000000"/>
          <w:sz w:val="22"/>
        </w:rPr>
        <w:t>Amend Section 1.5 to read as follows:</w:t>
      </w:r>
    </w:p>
    <w:p>
      <w:pPr>
        <w:spacing w:before="0" w:after="0"/>
        <w:ind w:left="120"/>
        <w:jc w:val="both"/>
      </w:pPr>
      <w:r>
        <w:rPr>
          <w:rFonts w:ascii="Times New Roman" w:hAnsi="Times New Roman"/>
          <w:b w:val="false"/>
          <w:i w:val="false"/>
          <w:color w:val="000000"/>
          <w:sz w:val="22"/>
        </w:rPr>
        <w:t xml:space="preserve">1.5  Equivalency. </w:t>
      </w:r>
    </w:p>
    <w:p>
      <w:pPr>
        <w:spacing w:before="0" w:after="0"/>
        <w:ind w:left="120"/>
        <w:jc w:val="both"/>
      </w:pPr>
      <w:r>
        <w:rPr>
          <w:rFonts w:ascii="Times New Roman" w:hAnsi="Times New Roman"/>
          <w:b w:val="false"/>
          <w:i w:val="false"/>
          <w:color w:val="000000"/>
          <w:sz w:val="22"/>
        </w:rPr>
        <w:t>Nothing in this code is intended to prevent the use of systems, methods, or devices of equivalent or superior quality, strength, fire resistance, effectiveness, durability, and safety over those prescribed by this code. Any request for approval to use systems, methods, or devices other than those specified in this chapter shall be submitted to the director as a request for a waiver of a rule.</w:t>
      </w:r>
    </w:p>
    <w:p>
      <w:pPr>
        <w:spacing w:before="0" w:after="0"/>
        <w:ind w:left="120"/>
        <w:jc w:val="both"/>
      </w:pPr>
      <w:r>
        <w:rPr>
          <w:rFonts w:ascii="Times New Roman" w:hAnsi="Times New Roman"/>
          <w:b w:val="false"/>
          <w:i w:val="false"/>
          <w:color w:val="000000"/>
          <w:sz w:val="22"/>
        </w:rPr>
        <w:t>Delete Sections 4.7 through 4.7.4.</w:t>
      </w:r>
    </w:p>
    <w:p>
      <w:pPr>
        <w:spacing w:before="0" w:after="0"/>
        <w:ind w:left="120"/>
        <w:jc w:val="both"/>
      </w:pPr>
      <w:r>
        <w:rPr>
          <w:rFonts w:ascii="Times New Roman" w:hAnsi="Times New Roman"/>
          <w:b w:val="false"/>
          <w:i w:val="false"/>
          <w:color w:val="000000"/>
          <w:sz w:val="22"/>
        </w:rPr>
        <w:t>Amend Sections 4.2, 4.2.1, 4.2.2, 4.2.3, 4.3 through 4.3.2, 4.4 through 4.4.5, 4.5, 4.5.1, 4.5.2, 4.5.3, 4.6 through 4.6.3, 4.8.1, 4.8.3, and 4.8.4, by deleting the words “permit” and “permits” wherever they occur and inserting in lieu thereof, respectively, the word “license.”</w:t>
      </w:r>
    </w:p>
    <w:p>
      <w:pPr>
        <w:spacing w:before="0" w:after="0"/>
        <w:ind w:left="120"/>
        <w:jc w:val="both"/>
      </w:pPr>
      <w:r>
        <w:rPr>
          <w:rFonts w:ascii="Times New Roman" w:hAnsi="Times New Roman"/>
          <w:b w:val="false"/>
          <w:i w:val="false"/>
          <w:color w:val="000000"/>
          <w:sz w:val="22"/>
        </w:rPr>
        <w:t>Add the following new section:</w:t>
      </w:r>
    </w:p>
    <w:p>
      <w:pPr>
        <w:spacing w:before="0" w:after="0"/>
        <w:ind w:left="120"/>
        <w:jc w:val="both"/>
      </w:pPr>
      <w:r>
        <w:rPr>
          <w:rFonts w:ascii="Times New Roman" w:hAnsi="Times New Roman"/>
          <w:b w:val="false"/>
          <w:i w:val="false"/>
          <w:color w:val="000000"/>
          <w:sz w:val="22"/>
        </w:rPr>
        <w:t>9.4.6.3 A fire department that has received information pursuant to this section may re-disseminate the information to the state fire marshal, another fire department that is responding to a fire or other incident at the location at which the explosives are stored, or to a law enforcement agency. Information received by a fire department pursuant to this section shall not be redisseminated except as provided in this section.</w:t>
      </w:r>
    </w:p>
    <w:p>
      <w:pPr>
        <w:spacing w:before="0" w:after="0"/>
        <w:ind w:left="120"/>
        <w:jc w:val="both"/>
      </w:pPr>
      <w:r>
        <w:rPr>
          <w:rFonts w:ascii="Times New Roman" w:hAnsi="Times New Roman"/>
          <w:b w:val="false"/>
          <w:i w:val="false"/>
          <w:color w:val="000000"/>
          <w:sz w:val="22"/>
        </w:rPr>
        <w:t>Amend Section 9.6.3.7 Type 3 magazines containing explosive materials shall be within line-of-sight vision of a blaster or, if not within line-of-sight vision of a blaster, shall be secured if in a vehicle or in a secure building, facility, or area.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481—268.2</w:t>
      </w:r>
      <w:r>
        <w:rPr>
          <w:rFonts w:ascii="Times New Roman" w:hAnsi="Times New Roman"/>
          <w:b/>
          <w:i w:val="false"/>
          <w:color w:val="000000"/>
          <w:sz w:val="22"/>
        </w:rPr>
        <w:t xml:space="preserve">(101A)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Definitions set forth in Iowa Code section </w:t>
      </w:r>
      <w:hyperlink r:id="rId5">
        <w:r>
          <w:rPr>
            <w:rStyle w:val="Hyperlink"/>
            <w:rFonts w:ascii="Times New Roman" w:hAnsi="Times New Roman"/>
            <w:b w:val="false"/>
            <w:i w:val="false"/>
            <w:color w:val="000000"/>
            <w:sz w:val="22"/>
          </w:rPr>
          <w:t>101A.1</w:t>
        </w:r>
      </w:hyperlink>
      <w:r>
        <w:rPr>
          <w:rFonts w:ascii="Times New Roman" w:hAnsi="Times New Roman"/>
          <w:b w:val="false"/>
          <w:i w:val="false"/>
          <w:color w:val="000000"/>
          <w:sz w:val="22"/>
        </w:rPr>
        <w:t xml:space="preserve"> are incorporated herein by reference. For purposes of these rules, the following definitions also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“Actual possession” </w:t>
      </w:r>
      <w:r>
        <w:rPr>
          <w:rFonts w:ascii="Times New Roman" w:hAnsi="Times New Roman"/>
          <w:b w:val="false"/>
          <w:i w:val="false"/>
          <w:color w:val="000000"/>
          <w:sz w:val="22"/>
        </w:rPr>
        <w:t>means when a person is in immediate possession or control of explosive materials (e.g., an employee who physically handles explosive materials as part of the production process; or an employee, such as a blaster, who actually uses explosive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an individual employed by a commercial explosive contractor or person associated with a commercial explosive contractor who meets the definition of “employee possessor” or “responsible person” as defined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“Commercial explosive blaster”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“blaster” </w:t>
      </w:r>
      <w:r>
        <w:rPr>
          <w:rFonts w:ascii="Times New Roman" w:hAnsi="Times New Roman"/>
          <w:b w:val="false"/>
          <w:i w:val="false"/>
          <w:color w:val="000000"/>
          <w:sz w:val="22"/>
        </w:rPr>
        <w:t>means any individual who conducts blasting or is in charge of or responsible for loading or detonation of any explosive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“Commercial explosive contractor”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“contractor” </w:t>
      </w:r>
      <w:r>
        <w:rPr>
          <w:rFonts w:ascii="Times New Roman" w:hAnsi="Times New Roman"/>
          <w:b w:val="false"/>
          <w:i w:val="false"/>
          <w:color w:val="000000"/>
          <w:sz w:val="22"/>
        </w:rPr>
        <w:t>means any business whose employees are engaged in the manufacture, importation, distribution, sale, or commercial use of explosives in the course of their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“Constructive possession” </w:t>
      </w:r>
      <w:r>
        <w:rPr>
          <w:rFonts w:ascii="Times New Roman" w:hAnsi="Times New Roman"/>
          <w:b w:val="false"/>
          <w:i w:val="false"/>
          <w:color w:val="000000"/>
          <w:sz w:val="22"/>
        </w:rPr>
        <w:t>means when an employee lacks direct physical control over explosive materials but exercises dominion and control over the explosive materials, either directly or indirectly through others (e.g., an employee at a construction site who keeps keys for magazines in which explosive materials are stored, or who directs the use of explosive materials by other employees; or an employee transporting explosive materials from a licensee to a purchaser).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“Employee possessor” </w:t>
      </w:r>
      <w:r>
        <w:rPr>
          <w:rFonts w:ascii="Times New Roman" w:hAnsi="Times New Roman"/>
          <w:b w:val="false"/>
          <w:i w:val="false"/>
          <w:color w:val="000000"/>
          <w:sz w:val="22"/>
        </w:rPr>
        <w:t>means an individual who has actual or constructive possession of explosive materials during the course of the individual’s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“Offense directly relates” </w:t>
      </w:r>
      <w:r>
        <w:rPr>
          <w:rFonts w:ascii="Times New Roman" w:hAnsi="Times New Roman"/>
          <w:b w:val="false"/>
          <w:i w:val="false"/>
          <w:color w:val="000000"/>
          <w:sz w:val="22"/>
        </w:rPr>
        <w:t>refers to either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actions taken in furtherance of an offense are actions customarily performed within the scope of practice of a licensed profession.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circumstances under which an offense was committed are circumstances customary to a licensed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“Responsible person” </w:t>
      </w:r>
      <w:r>
        <w:rPr>
          <w:rFonts w:ascii="Times New Roman" w:hAnsi="Times New Roman"/>
          <w:b w:val="false"/>
          <w:i w:val="false"/>
          <w:color w:val="000000"/>
          <w:sz w:val="22"/>
        </w:rPr>
        <w:t>means an individual who has the power to direct the management and policies of the commercial explosive contractor pertaining to explosive materials. For example, responsible persons generally include sole proprietors and explosives facility site managers. In the case of a corporation, association, or similar organization, responsible persons generally include corporate directors and officers, as well as stockholders who have the power to direct management and policies.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481—268.3</w:t>
      </w:r>
      <w:r>
        <w:rPr>
          <w:rFonts w:ascii="Times New Roman" w:hAnsi="Times New Roman"/>
          <w:b/>
          <w:i w:val="false"/>
          <w:color w:val="000000"/>
          <w:sz w:val="22"/>
        </w:rPr>
        <w:t xml:space="preserve">(101A) </w:t>
      </w:r>
      <w:r>
        <w:rPr>
          <w:rFonts w:ascii="Times New Roman" w:hAnsi="Times New Roman"/>
          <w:b/>
          <w:i w:val="false"/>
          <w:color w:val="000000"/>
          <w:sz w:val="22"/>
        </w:rPr>
        <w:t xml:space="preserve">Licenses required. </w:t>
      </w:r>
      <w:r>
        <w:rPr>
          <w:rFonts w:ascii="Times New Roman" w:hAnsi="Times New Roman"/>
          <w:b w:val="false"/>
          <w:i w:val="false"/>
          <w:color w:val="000000"/>
          <w:sz w:val="22"/>
        </w:rPr>
        <w:t>Except as specifically exempted by another provision of state or federal law, any business whose employees are engaged in the manufacture, importation, distribution, sale, or commercial use of explosives in the course of their employment shall be required to hold a current commercial explosive contractor license issued pursuant to this chapter. Any individual, except as specifically exempted by another provision of law, who conducts blasting or is in charge of or responsible for loading or detonation of any explosive material shall be required to hold a current commercial explosive blaster license issued pursuant to this chapter. A commercial explosive blaster license is not required to authorize a person solely to transport explosives from one location to another, to assist a licensed blaster, to train under a licensed blaster, or to engage in the manufacture of explosives.</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Iowa Code section </w:t>
      </w:r>
      <w:hyperlink r:id="rId6">
        <w:r>
          <w:rPr>
            <w:rStyle w:val="Hyperlink"/>
            <w:rFonts w:ascii="Times New Roman" w:hAnsi="Times New Roman"/>
            <w:b w:val="false"/>
            <w:i w:val="false"/>
            <w:color w:val="000000"/>
            <w:sz w:val="22"/>
          </w:rPr>
          <w:t>101A.1</w:t>
        </w:r>
      </w:hyperlink>
      <w:r>
        <w:rPr>
          <w:rFonts w:ascii="Times New Roman" w:hAnsi="Times New Roman"/>
          <w:b w:val="false"/>
          <w:i w:val="false"/>
          <w:color w:val="000000"/>
          <w:sz w:val="22"/>
        </w:rPr>
        <w:t xml:space="preserve"> excludes “fireworks” from the definition of “explosive.” Consequently, working with fireworks does not necessitate a blaster license, nor does the manufacture, importation, distribution, sale, or commercial use of fireworks necessitate a commercial explosive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481—268.4</w:t>
      </w:r>
      <w:r>
        <w:rPr>
          <w:rFonts w:ascii="Times New Roman" w:hAnsi="Times New Roman"/>
          <w:b/>
          <w:i w:val="false"/>
          <w:color w:val="000000"/>
          <w:sz w:val="22"/>
        </w:rPr>
        <w:t xml:space="preserve">(101A,272C) </w:t>
      </w:r>
      <w:r>
        <w:rPr>
          <w:rFonts w:ascii="Times New Roman" w:hAnsi="Times New Roman"/>
          <w:b/>
          <w:i w:val="false"/>
          <w:color w:val="000000"/>
          <w:sz w:val="22"/>
        </w:rPr>
        <w:t xml:space="preserve">License 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268.4(1)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commercial explosive contractor or commercial explosive blaster license. </w:t>
      </w:r>
      <w:r>
        <w:rPr>
          <w:rFonts w:ascii="Times New Roman" w:hAnsi="Times New Roman"/>
          <w:b w:val="false"/>
          <w:i w:val="false"/>
          <w:color w:val="000000"/>
          <w:sz w:val="22"/>
        </w:rPr>
        <w:t>Applications for a commercial explosive contractor license or a commercial explosive blaster license are available on the department’s website. The application shall be filed no later than 30 days prior to the date of beginning work in this state or on which an existing license expires.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268.4(2)</w:t>
      </w:r>
      <w:r>
        <w:rPr>
          <w:rFonts w:ascii="Times New Roman" w:hAnsi="Times New Roman"/>
          <w:b w:val="false"/>
          <w:i w:val="false"/>
          <w:color w:val="000000"/>
          <w:sz w:val="22"/>
        </w:rPr>
        <w:t> </w:t>
      </w:r>
      <w:r>
        <w:rPr>
          <w:rFonts w:ascii="Times New Roman" w:hAnsi="Times New Roman"/>
          <w:b w:val="false"/>
          <w:i/>
          <w:color w:val="000000"/>
          <w:sz w:val="22"/>
        </w:rPr>
        <w:t xml:space="preserve">Submission of application and required information. </w:t>
      </w:r>
      <w:r>
        <w:rPr>
          <w:rFonts w:ascii="Times New Roman" w:hAnsi="Times New Roman"/>
          <w:b w:val="false"/>
          <w:i w:val="false"/>
          <w:color w:val="000000"/>
          <w:sz w:val="22"/>
        </w:rPr>
        <w:t>A completed application for a license shall be submitted to the department at the address specified on the department’s website. An application will not be considered complete unless all required information is submitted, including required attachments and fees, and will not be processed until it is 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268.4(3)</w:t>
      </w:r>
      <w:r>
        <w:rPr>
          <w:rFonts w:ascii="Times New Roman" w:hAnsi="Times New Roman"/>
          <w:b w:val="false"/>
          <w:i w:val="false"/>
          <w:color w:val="000000"/>
          <w:sz w:val="22"/>
        </w:rPr>
        <w:t> </w:t>
      </w:r>
      <w:r>
        <w:rPr>
          <w:rFonts w:ascii="Times New Roman" w:hAnsi="Times New Roman"/>
          <w:b w:val="false"/>
          <w:i/>
          <w:color w:val="000000"/>
          <w:sz w:val="22"/>
        </w:rPr>
        <w:t xml:space="preserve">License fee. </w:t>
      </w:r>
      <w:r>
        <w:rPr>
          <w:rFonts w:ascii="Times New Roman" w:hAnsi="Times New Roman"/>
          <w:b w:val="false"/>
          <w:i w:val="false"/>
          <w:color w:val="000000"/>
          <w:sz w:val="22"/>
        </w:rPr>
        <w:t xml:space="preserve">Each license application shall be accompanied by a license fee as set forth in Iowa Code section </w:t>
      </w:r>
      <w:hyperlink r:id="rId7">
        <w:r>
          <w:rPr>
            <w:rStyle w:val="Hyperlink"/>
            <w:rFonts w:ascii="Times New Roman" w:hAnsi="Times New Roman"/>
            <w:b w:val="false"/>
            <w:i w:val="false"/>
            <w:color w:val="000000"/>
            <w:sz w:val="22"/>
          </w:rPr>
          <w:t>101A.2(2)</w:t>
        </w:r>
      </w:hyperlink>
      <w:r>
        <w:rPr>
          <w:rFonts w:ascii="Times New Roman" w:hAnsi="Times New Roman"/>
          <w:b w:val="false"/>
          <w:i w:val="false"/>
          <w:color w:val="000000"/>
          <w:sz w:val="22"/>
        </w:rPr>
        <w:t>. The department will waive any fee charged to an applicant for a license if the applicant’s household income does not exceed 200 percent of the federal poverty income guidelines and the applicant is applying for the license for the first time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268.4(4)</w:t>
      </w:r>
      <w:r>
        <w:rPr>
          <w:rFonts w:ascii="Times New Roman" w:hAnsi="Times New Roman"/>
          <w:b w:val="false"/>
          <w:i w:val="false"/>
          <w:color w:val="000000"/>
          <w:sz w:val="22"/>
        </w:rPr>
        <w:t> </w:t>
      </w:r>
      <w:r>
        <w:rPr>
          <w:rFonts w:ascii="Times New Roman" w:hAnsi="Times New Roman"/>
          <w:b w:val="false"/>
          <w:i/>
          <w:color w:val="000000"/>
          <w:sz w:val="22"/>
        </w:rPr>
        <w:t xml:space="preserve">License duration. </w:t>
      </w:r>
      <w:r>
        <w:rPr>
          <w:rFonts w:ascii="Times New Roman" w:hAnsi="Times New Roman"/>
          <w:b w:val="false"/>
          <w:i w:val="false"/>
          <w:color w:val="000000"/>
          <w:sz w:val="22"/>
        </w:rPr>
        <w:t>Licensure will normally be for three years and expire on December 31 of the third year after it is issued, except that a license issued in December of any year expires on December 31 after two years have passed from the date on which the license was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268.4(5)</w:t>
      </w:r>
      <w:r>
        <w:rPr>
          <w:rFonts w:ascii="Times New Roman" w:hAnsi="Times New Roman"/>
          <w:b w:val="false"/>
          <w:i w:val="false"/>
          <w:color w:val="000000"/>
          <w:sz w:val="22"/>
        </w:rPr>
        <w:t> </w:t>
      </w:r>
      <w:r>
        <w:rPr>
          <w:rFonts w:ascii="Times New Roman" w:hAnsi="Times New Roman"/>
          <w:b w:val="false"/>
          <w:i/>
          <w:color w:val="000000"/>
          <w:sz w:val="22"/>
        </w:rPr>
        <w:t xml:space="preserve">Criminal history. </w:t>
      </w:r>
      <w:r>
        <w:rPr>
          <w:rFonts w:ascii="Times New Roman" w:hAnsi="Times New Roman"/>
          <w:b w:val="false"/>
          <w:i w:val="false"/>
          <w:color w:val="000000"/>
          <w:sz w:val="22"/>
        </w:rPr>
        <w:t xml:space="preserve">An applicant is subject to a national criminal history check pursuant to Iowa Code section </w:t>
      </w:r>
      <w:hyperlink r:id="rId8">
        <w:r>
          <w:rPr>
            <w:rStyle w:val="Hyperlink"/>
            <w:rFonts w:ascii="Times New Roman" w:hAnsi="Times New Roman"/>
            <w:b w:val="false"/>
            <w:i w:val="false"/>
            <w:color w:val="000000"/>
            <w:sz w:val="22"/>
          </w:rPr>
          <w:t>101A.2(3)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268.4(6)</w:t>
      </w:r>
      <w:r>
        <w:rPr>
          <w:rFonts w:ascii="Times New Roman" w:hAnsi="Times New Roman"/>
          <w:b w:val="false"/>
          <w:i w:val="false"/>
          <w:color w:val="000000"/>
          <w:sz w:val="22"/>
        </w:rPr>
        <w:t> </w:t>
      </w:r>
      <w:r>
        <w:rPr>
          <w:rFonts w:ascii="Times New Roman" w:hAnsi="Times New Roman"/>
          <w:b w:val="false"/>
          <w:i/>
          <w:color w:val="000000"/>
          <w:sz w:val="22"/>
        </w:rPr>
        <w:t xml:space="preserve">Veterans and military service members. </w:t>
      </w:r>
      <w:r>
        <w:rPr>
          <w:rFonts w:ascii="Times New Roman" w:hAnsi="Times New Roman"/>
          <w:b w:val="false"/>
          <w:i w:val="false"/>
          <w:color w:val="000000"/>
          <w:sz w:val="22"/>
        </w:rPr>
        <w:t xml:space="preserve">Any individual while serving honorably on federal active duty, state active duty, or national guard duty, as defined in Iowa Code section </w:t>
      </w:r>
      <w:hyperlink r:id="rId9">
        <w:r>
          <w:rPr>
            <w:rStyle w:val="Hyperlink"/>
            <w:rFonts w:ascii="Times New Roman" w:hAnsi="Times New Roman"/>
            <w:b w:val="false"/>
            <w:i w:val="false"/>
            <w:color w:val="000000"/>
            <w:sz w:val="22"/>
          </w:rPr>
          <w:t>29A.1</w:t>
        </w:r>
      </w:hyperlink>
      <w:r>
        <w:rPr>
          <w:rFonts w:ascii="Times New Roman" w:hAnsi="Times New Roman"/>
          <w:b w:val="false"/>
          <w:i w:val="false"/>
          <w:color w:val="000000"/>
          <w:sz w:val="22"/>
        </w:rPr>
        <w:t xml:space="preserve">, applying for licensure as a commercial explosive contractor or blaster should apply for licensure in accordance with </w:t>
      </w:r>
      <w:hyperlink r:id="rId10">
        <w:r>
          <w:rPr>
            <w:rStyle w:val="Hyperlink"/>
            <w:rFonts w:ascii="Times New Roman" w:hAnsi="Times New Roman"/>
            <w:b w:val="false"/>
            <w:i w:val="false"/>
            <w:color w:val="000000"/>
            <w:sz w:val="22"/>
          </w:rPr>
          <w:t>481—Chapter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481—268.5</w:t>
      </w:r>
      <w:r>
        <w:rPr>
          <w:rFonts w:ascii="Times New Roman" w:hAnsi="Times New Roman"/>
          <w:b/>
          <w:i w:val="false"/>
          <w:color w:val="000000"/>
          <w:sz w:val="22"/>
        </w:rPr>
        <w:t xml:space="preserve">(101A) </w:t>
      </w:r>
      <w:r>
        <w:rPr>
          <w:rFonts w:ascii="Times New Roman" w:hAnsi="Times New Roman"/>
          <w:b/>
          <w:i w:val="false"/>
          <w:color w:val="000000"/>
          <w:sz w:val="22"/>
        </w:rPr>
        <w:t xml:space="preserve">Issuance of commercial explosive contractor license. </w:t>
      </w:r>
      <w:r>
        <w:rPr>
          <w:rFonts w:ascii="Times New Roman" w:hAnsi="Times New Roman"/>
          <w:b w:val="false"/>
          <w:i w:val="false"/>
          <w:color w:val="000000"/>
          <w:sz w:val="22"/>
        </w:rPr>
        <w:t>A commercial explosive contractor license will be issued if all of the following conditions have been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268.5(1)</w:t>
      </w:r>
      <w:r>
        <w:rPr>
          <w:rFonts w:ascii="Times New Roman" w:hAnsi="Times New Roman"/>
          <w:b w:val="false"/>
          <w:i w:val="false"/>
          <w:color w:val="000000"/>
          <w:sz w:val="22"/>
        </w:rPr>
        <w:t> </w:t>
      </w:r>
      <w:r>
        <w:rPr>
          <w:rFonts w:ascii="Times New Roman" w:hAnsi="Times New Roman"/>
          <w:b w:val="false"/>
          <w:i w:val="false"/>
          <w:color w:val="000000"/>
          <w:sz w:val="22"/>
        </w:rPr>
        <w:t>All items required on the application have been completed, and any items the department deems necessary to verify have been appropriately verified.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268.5(2)</w:t>
      </w:r>
      <w:r>
        <w:rPr>
          <w:rFonts w:ascii="Times New Roman" w:hAnsi="Times New Roman"/>
          <w:b w:val="false"/>
          <w:i w:val="false"/>
          <w:color w:val="000000"/>
          <w:sz w:val="22"/>
        </w:rPr>
        <w:t> </w:t>
      </w:r>
      <w:r>
        <w:rPr>
          <w:rFonts w:ascii="Times New Roman" w:hAnsi="Times New Roman"/>
          <w:b w:val="false"/>
          <w:i w:val="false"/>
          <w:color w:val="000000"/>
          <w:sz w:val="22"/>
        </w:rPr>
        <w:t>No applicant for whom commercial explosive licensure is sought nor any person who will have, at any time, possession of explosives in the course of employment with the prospective contractor licensee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been convicted of any offense involving explosives or firearms;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been previously disqualified from being licensed to handle explosives in this or any other state. The department may grant a license to a person previously disqualified if the department is satisfied that the condition or conditions that led to the disqualification have been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an unlawful user of or be addicted to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Have been adjudged mentally incompetent at any time by any court, been committed by any court to any mental institution, received inpatient treatment for any mental illness in the past three years, or received treatment by a health care professional for a serious mental illness or disorder that impairs a person’s capacity to function normally and safely, both toward themselves and others.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268.5(3)</w:t>
      </w:r>
      <w:r>
        <w:rPr>
          <w:rFonts w:ascii="Times New Roman" w:hAnsi="Times New Roman"/>
          <w:b w:val="false"/>
          <w:i w:val="false"/>
          <w:color w:val="000000"/>
          <w:sz w:val="22"/>
        </w:rPr>
        <w:t> </w:t>
      </w:r>
      <w:r>
        <w:rPr>
          <w:rFonts w:ascii="Times New Roman" w:hAnsi="Times New Roman"/>
          <w:b w:val="false"/>
          <w:i w:val="false"/>
          <w:color w:val="000000"/>
          <w:sz w:val="22"/>
        </w:rPr>
        <w:t>The applicant has at least one responsible person or employee licensed as a commercial explosive blaster.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481—268.6</w:t>
      </w:r>
      <w:r>
        <w:rPr>
          <w:rFonts w:ascii="Times New Roman" w:hAnsi="Times New Roman"/>
          <w:b/>
          <w:i w:val="false"/>
          <w:color w:val="000000"/>
          <w:sz w:val="22"/>
        </w:rPr>
        <w:t xml:space="preserve">(101A) </w:t>
      </w:r>
      <w:r>
        <w:rPr>
          <w:rFonts w:ascii="Times New Roman" w:hAnsi="Times New Roman"/>
          <w:b/>
          <w:i w:val="false"/>
          <w:color w:val="000000"/>
          <w:sz w:val="22"/>
        </w:rPr>
        <w:t xml:space="preserve">Issuance of a commercial explosive blaster license. </w:t>
      </w:r>
      <w:r>
        <w:rPr>
          <w:rFonts w:ascii="Times New Roman" w:hAnsi="Times New Roman"/>
          <w:b w:val="false"/>
          <w:i w:val="false"/>
          <w:color w:val="000000"/>
          <w:sz w:val="22"/>
        </w:rPr>
        <w:t>A commercial explosive blaster license will be issued if all of the following conditions have been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268.6(1)</w:t>
      </w:r>
      <w:r>
        <w:rPr>
          <w:rFonts w:ascii="Times New Roman" w:hAnsi="Times New Roman"/>
          <w:b w:val="false"/>
          <w:i w:val="false"/>
          <w:color w:val="000000"/>
          <w:sz w:val="22"/>
        </w:rPr>
        <w:t> </w:t>
      </w:r>
      <w:r>
        <w:rPr>
          <w:rFonts w:ascii="Times New Roman" w:hAnsi="Times New Roman"/>
          <w:b w:val="false"/>
          <w:i w:val="false"/>
          <w:color w:val="000000"/>
          <w:sz w:val="22"/>
        </w:rPr>
        <w:t>The applicant is an employee of a licensed commercial explosive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after a commercial explosive blaster license is issued, such employment ceases, the employing contractor and the commercial explosive blaster shall each notify the department within three business days of the final day of employment that the employment has ceased, and the commercial explosive blaster license shall be suspended until the commercial explosive blaster is again employed with a licensed commercial explosive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reemployment, the employer shall notify the department that the commercial explosive blaster is again employed with a licensed commercial explosive contractor, and the department will reinstate the commercial explosive blaster license as soon as practical, provided that the commercial explosive blaster is not disqualified from holding a license pursuant to any provision of this chapter.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department finds that a commercial explosive blaster is disqualified from holding a license, the department shall revoke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268.6(2)</w:t>
      </w:r>
      <w:r>
        <w:rPr>
          <w:rFonts w:ascii="Times New Roman" w:hAnsi="Times New Roman"/>
          <w:b w:val="false"/>
          <w:i w:val="false"/>
          <w:color w:val="000000"/>
          <w:sz w:val="22"/>
        </w:rPr>
        <w:t> </w:t>
      </w:r>
      <w:r>
        <w:rPr>
          <w:rFonts w:ascii="Times New Roman" w:hAnsi="Times New Roman"/>
          <w:b w:val="false"/>
          <w:i w:val="false"/>
          <w:color w:val="000000"/>
          <w:sz w:val="22"/>
        </w:rPr>
        <w:t>All items required on the application have been completed and any items the department deems necessary to verify have been verified and found to be true.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268.6(3)</w:t>
      </w:r>
      <w:r>
        <w:rPr>
          <w:rFonts w:ascii="Times New Roman" w:hAnsi="Times New Roman"/>
          <w:b w:val="false"/>
          <w:i w:val="false"/>
          <w:color w:val="000000"/>
          <w:sz w:val="22"/>
        </w:rPr>
        <w:t> </w:t>
      </w:r>
      <w:r>
        <w:rPr>
          <w:rFonts w:ascii="Times New Roman" w:hAnsi="Times New Roman"/>
          <w:b w:val="false"/>
          <w:i w:val="false"/>
          <w:color w:val="000000"/>
          <w:sz w:val="22"/>
        </w:rPr>
        <w:t>The applicant is not or has not been: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Convicted of any offense involving explosives or firearms;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Previously disqualified from being licensed to handle explosives in this or any other state. The department may grant a license to a person previously disqualified if the department is satisfied that the condition or conditions that led to the disqualification have been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unlawful user of or addicted to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Adjudged mentally incompetent at any time by any court or committed by any court to any mental institution;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recipient of inpatient treatment for any mental illness in the past three years or a recipient of treatment by a health care professional for a serious mental illness or disorder that impairs a person’s capacity to function normally and safely toward themselves or others.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268.6(4)</w:t>
      </w:r>
      <w:r>
        <w:rPr>
          <w:rFonts w:ascii="Times New Roman" w:hAnsi="Times New Roman"/>
          <w:b w:val="false"/>
          <w:i w:val="false"/>
          <w:color w:val="000000"/>
          <w:sz w:val="22"/>
        </w:rPr>
        <w:t> </w:t>
      </w:r>
      <w:r>
        <w:rPr>
          <w:rFonts w:ascii="Times New Roman" w:hAnsi="Times New Roman"/>
          <w:b w:val="false"/>
          <w:i w:val="false"/>
          <w:color w:val="000000"/>
          <w:sz w:val="22"/>
        </w:rPr>
        <w:t>The applicant has satisfactorily completed training approved by the department for the handling and use of explosives as described on the department’s website. The training may be provided by the employer or by a reputable third party knowledgeable about the storage, handling, and use of explosives. The department may accept related job experience of 640 hours or more in lieu of training if the experience is documented by a sworn affidavit provided by the employing commercial explosive contractor licensee.</w:t>
      </w:r>
    </w:p>
    <w:p>
      <w:pPr>
        <w:spacing w:before="0" w:after="0"/>
        <w:ind w:left="120"/>
        <w:jc w:val="both"/>
      </w:pPr>
      <w:r>
        <w:rPr>
          <w:rFonts w:ascii="Times New Roman" w:hAnsi="Times New Roman"/>
          <w:b w:val="false"/>
          <w:i w:val="false"/>
          <w:color w:val="000000"/>
          <w:sz w:val="22"/>
        </w:rPr>
        <w:t>EXCEPTION:</w:t>
      </w:r>
      <w:r>
        <w:rPr>
          <w:rFonts w:ascii="Times New Roman" w:hAnsi="Times New Roman"/>
          <w:b w:val="false"/>
          <w:i w:val="false"/>
          <w:color w:val="000000"/>
          <w:sz w:val="22"/>
        </w:rPr>
        <w:t xml:space="preserve"> The department may issue a commercial explosive blaster license to a person licensed or certified as a blaster in another state, provided that the department finds that the requirements for licensing or certification in the other state are comparable to those provided for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268.6(5)</w:t>
      </w:r>
      <w:r>
        <w:rPr>
          <w:rFonts w:ascii="Times New Roman" w:hAnsi="Times New Roman"/>
          <w:b w:val="false"/>
          <w:i w:val="false"/>
          <w:color w:val="000000"/>
          <w:sz w:val="22"/>
        </w:rPr>
        <w:t> </w:t>
      </w:r>
      <w:r>
        <w:rPr>
          <w:rFonts w:ascii="Times New Roman" w:hAnsi="Times New Roman"/>
          <w:b w:val="false"/>
          <w:i w:val="false"/>
          <w:color w:val="000000"/>
          <w:sz w:val="22"/>
        </w:rPr>
        <w:t>An applicant for a renewal license has completed continuing education from a nationally recognized institution in professional explosives storage, handling, and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268.6(6)</w:t>
      </w:r>
      <w:r>
        <w:rPr>
          <w:rFonts w:ascii="Times New Roman" w:hAnsi="Times New Roman"/>
          <w:b w:val="false"/>
          <w:i w:val="false"/>
          <w:color w:val="000000"/>
          <w:sz w:val="22"/>
        </w:rPr>
        <w:t> </w:t>
      </w:r>
      <w:r>
        <w:rPr>
          <w:rFonts w:ascii="Times New Roman" w:hAnsi="Times New Roman"/>
          <w:b w:val="false"/>
          <w:i w:val="false"/>
          <w:color w:val="000000"/>
          <w:sz w:val="22"/>
        </w:rPr>
        <w:t>The applicant is 21 years of age or older.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481—268.7</w:t>
      </w:r>
      <w:r>
        <w:rPr>
          <w:rFonts w:ascii="Times New Roman" w:hAnsi="Times New Roman"/>
          <w:b/>
          <w:i w:val="false"/>
          <w:color w:val="000000"/>
          <w:sz w:val="22"/>
        </w:rPr>
        <w:t xml:space="preserve">(272C) </w:t>
      </w:r>
      <w:r>
        <w:rPr>
          <w:rFonts w:ascii="Times New Roman" w:hAnsi="Times New Roman"/>
          <w:b/>
          <w:i w:val="false"/>
          <w:color w:val="000000"/>
          <w:sz w:val="22"/>
        </w:rPr>
        <w:t xml:space="preserve">Licensure of persons licensed in other jurisdictions.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268.7(1)</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rule, “issuing jurisdiction” means the duly constituted authority in another state that has issued a professional license, certificate, or registration to a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268.7(2)</w:t>
      </w:r>
      <w:r>
        <w:rPr>
          <w:rFonts w:ascii="Times New Roman" w:hAnsi="Times New Roman"/>
          <w:b w:val="false"/>
          <w:i w:val="false"/>
          <w:color w:val="000000"/>
          <w:sz w:val="22"/>
        </w:rPr>
        <w:t> </w:t>
      </w:r>
      <w:r>
        <w:rPr>
          <w:rFonts w:ascii="Times New Roman" w:hAnsi="Times New Roman"/>
          <w:b w:val="false"/>
          <w:i w:val="false"/>
          <w:color w:val="000000"/>
          <w:sz w:val="22"/>
        </w:rPr>
        <w:t>Notwithstanding any other provision of law, a commercial explosive contractor license or commercial blaster license will be issued without an examination to a person who establishes residency in this state or to a person who is married to an active duty member of the military forces of the United States and who is accompanying the member on an official permanent change of station to a military installation located in this state if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is currently licensed by at least one other issuing jurisdiction as a commercial explosive contractor or commercial blaster with a substantially similar scope of practice and the license is in good standing in all issuing jurisdictions in which the person holds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has been licensed by another issuing jurisdiction for at least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person was licensed by the issuing jurisdiction, the issuing jurisdiction imposed minimum educational requirements and, if applicable, work experience, and the issuing jurisdiction verifies that the person met those requirements in order to be licensed in that issuing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person previously passed an examination required by the other issuing jurisdiction for licensure,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person has not had a license revoked and has not voluntarily surrendered a license in any other issuing jurisdiction or country while under investigation for unprofessional 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person has not had discipline imposed by any other regulating entity in this state or another issuing jurisdiction or country. If another jurisdiction has taken disciplinary action against the person, the department shall determine if the cause for the action was corrected and the matter resolved. If the department determines that the matter has not been resolved by the jurisdiction imposing discipline, the department shall not issue or deny a license to the person until the matter is resolved.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person does not have a complaint, allegation, or investigation pending before any regulating entity in another issuing jurisdiction or country that relates to unprofessional conduct. If the person has any complaints, allegations, or investigations pending, the department shall not issue or deny a license to the person until the complaint, allegation, or investigation is resolved.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pays all applicable 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person does not have a criminal history that would prevent the person from holding the commercial explosive contractor license or commercial blaster license applied for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268.7(3)</w:t>
      </w:r>
      <w:r>
        <w:rPr>
          <w:rFonts w:ascii="Times New Roman" w:hAnsi="Times New Roman"/>
          <w:b w:val="false"/>
          <w:i w:val="false"/>
          <w:color w:val="000000"/>
          <w:sz w:val="22"/>
        </w:rPr>
        <w:t> </w:t>
      </w:r>
      <w:r>
        <w:rPr>
          <w:rFonts w:ascii="Times New Roman" w:hAnsi="Times New Roman"/>
          <w:b w:val="false"/>
          <w:i w:val="false"/>
          <w:color w:val="000000"/>
          <w:sz w:val="22"/>
        </w:rPr>
        <w:t>A person licensed pursuant to this rule is subject to the laws regulating the person’s practice in this state and is subject to the jurisdiction of the department marshal.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268.7(4)</w:t>
      </w:r>
      <w:r>
        <w:rPr>
          <w:rFonts w:ascii="Times New Roman" w:hAnsi="Times New Roman"/>
          <w:b w:val="false"/>
          <w:i w:val="false"/>
          <w:color w:val="000000"/>
          <w:sz w:val="22"/>
        </w:rPr>
        <w:t> </w:t>
      </w:r>
      <w:r>
        <w:rPr>
          <w:rFonts w:ascii="Times New Roman" w:hAnsi="Times New Roman"/>
          <w:b w:val="false"/>
          <w:i w:val="false"/>
          <w:color w:val="000000"/>
          <w:sz w:val="22"/>
        </w:rPr>
        <w:t>This rule does not apply to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ability of the department to require the submission of fingerprints or completion of a criminal history check.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ability of the department to require a person to take and pass an examination specific to the laws of this state prior to issuing a license. If the department requires an applicant to take and pass an examination specific to the laws of this state, the department will issue an applicant a temporary license that is valid for a period of three months and may be renewed once for an additional period of three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268.7(5)</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subrule </w:t>
      </w:r>
      <w:hyperlink r:id="rId11">
        <w:r>
          <w:rPr>
            <w:rStyle w:val="Hyperlink"/>
            <w:rFonts w:ascii="Times New Roman" w:hAnsi="Times New Roman"/>
            <w:b w:val="false"/>
            <w:i w:val="false"/>
            <w:color w:val="000000"/>
            <w:sz w:val="22"/>
          </w:rPr>
          <w:t>268.7(2)</w:t>
        </w:r>
      </w:hyperlink>
      <w:r>
        <w:rPr>
          <w:rFonts w:ascii="Times New Roman" w:hAnsi="Times New Roman"/>
          <w:b w:val="false"/>
          <w:i w:val="false"/>
          <w:color w:val="000000"/>
          <w:sz w:val="22"/>
        </w:rPr>
        <w:t>, a person applying for a license in this state who relocates to this state from another state that did not require a license to practice as a commercial explosive contractor or commercial blaster may be considered to have met any education, training, or work experience requirements imposed by the department in this state if the person has three or more years of related work experience with a substantially similar scope of practice within the four years preceding the date of application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268.7(6)</w:t>
      </w:r>
      <w:r>
        <w:rPr>
          <w:rFonts w:ascii="Times New Roman" w:hAnsi="Times New Roman"/>
          <w:b w:val="false"/>
          <w:i w:val="false"/>
          <w:color w:val="000000"/>
          <w:sz w:val="22"/>
        </w:rPr>
        <w:t> </w:t>
      </w:r>
      <w:r>
        <w:rPr>
          <w:rFonts w:ascii="Times New Roman" w:hAnsi="Times New Roman"/>
          <w:b w:val="false"/>
          <w:i w:val="false"/>
          <w:color w:val="000000"/>
          <w:sz w:val="22"/>
        </w:rPr>
        <w:t>A person applying for a license in this state under the requirements of this subrule shall submit the request in writing to the department providing proof of residency in this state and documentation to verify all conditions are met under this subrule.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481—268.8</w:t>
      </w:r>
      <w:r>
        <w:rPr>
          <w:rFonts w:ascii="Times New Roman" w:hAnsi="Times New Roman"/>
          <w:b/>
          <w:i w:val="false"/>
          <w:color w:val="000000"/>
          <w:sz w:val="22"/>
        </w:rPr>
        <w:t xml:space="preserve">(101A) </w:t>
      </w:r>
      <w:r>
        <w:rPr>
          <w:rFonts w:ascii="Times New Roman" w:hAnsi="Times New Roman"/>
          <w:b/>
          <w:i w:val="false"/>
          <w:color w:val="000000"/>
          <w:sz w:val="22"/>
        </w:rPr>
        <w:t xml:space="preserve">Inventory and records. </w:t>
      </w:r>
      <w:r>
        <w:rPr>
          <w:rFonts w:ascii="Times New Roman" w:hAnsi="Times New Roman"/>
          <w:b w:val="false"/>
          <w:i w:val="false"/>
          <w:color w:val="000000"/>
          <w:sz w:val="22"/>
        </w:rPr>
        <w:t xml:space="preserve">Each licensed commercial explosive business shall maintain records as referenced in National Fire Protection Association (NFPA) Chapter 495, “Explosive Materials Code,” as adopted by reference in rule </w:t>
      </w:r>
      <w:hyperlink r:id="rId12">
        <w:r>
          <w:rPr>
            <w:rStyle w:val="Hyperlink"/>
            <w:rFonts w:ascii="Times New Roman" w:hAnsi="Times New Roman"/>
            <w:b w:val="false"/>
            <w:i w:val="false"/>
            <w:color w:val="000000"/>
            <w:sz w:val="22"/>
          </w:rPr>
          <w:t>481—268.1</w:t>
        </w:r>
      </w:hyperlink>
      <w:r>
        <w:rPr>
          <w:rFonts w:ascii="Times New Roman" w:hAnsi="Times New Roman"/>
          <w:b w:val="false"/>
          <w:i w:val="false"/>
          <w:color w:val="000000"/>
          <w:sz w:val="22"/>
        </w:rPr>
        <w:t>(101A).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481—268.9</w:t>
      </w:r>
      <w:r>
        <w:rPr>
          <w:rFonts w:ascii="Times New Roman" w:hAnsi="Times New Roman"/>
          <w:b/>
          <w:i w:val="false"/>
          <w:color w:val="000000"/>
          <w:sz w:val="22"/>
        </w:rPr>
        <w:t xml:space="preserve">(101A) </w:t>
      </w:r>
      <w:r>
        <w:rPr>
          <w:rFonts w:ascii="Times New Roman" w:hAnsi="Times New Roman"/>
          <w:b/>
          <w:i w:val="false"/>
          <w:color w:val="000000"/>
          <w:sz w:val="22"/>
        </w:rPr>
        <w:t xml:space="preserve">Complaints. </w:t>
      </w:r>
      <w:r>
        <w:rPr>
          <w:rFonts w:ascii="Times New Roman" w:hAnsi="Times New Roman"/>
          <w:b w:val="false"/>
          <w:i w:val="false"/>
          <w:color w:val="000000"/>
          <w:sz w:val="22"/>
        </w:rPr>
        <w:t xml:space="preserve">Complaints regarding the performance of any licensed contractor or blaster, failure of a licensed contractor or blaster to meet any of the requirements established in Iowa Code chapter </w:t>
      </w:r>
      <w:hyperlink r:id="rId13">
        <w:r>
          <w:rPr>
            <w:rStyle w:val="Hyperlink"/>
            <w:rFonts w:ascii="Times New Roman" w:hAnsi="Times New Roman"/>
            <w:b w:val="false"/>
            <w:i w:val="false"/>
            <w:color w:val="000000"/>
            <w:sz w:val="22"/>
          </w:rPr>
          <w:t>101A</w:t>
        </w:r>
      </w:hyperlink>
      <w:r>
        <w:rPr>
          <w:rFonts w:ascii="Times New Roman" w:hAnsi="Times New Roman"/>
          <w:b w:val="false"/>
          <w:i w:val="false"/>
          <w:color w:val="000000"/>
          <w:sz w:val="22"/>
        </w:rPr>
        <w:t xml:space="preserve"> or this chapter or any other provision of law, or operation as a commercial explosive contractor or commercial blaster without licensure may be filed with the department. Complaints should be as specific as possible and clearly identify the contractor or blaster against whom the complaint is filed. Complaints should be submitted in writing to the department as indicated on the department’s website. A complaint may be submitted anonymously, but if the name and contact information of the complainant are provided, the complainant may be notified of the disposition of the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481—268.10</w:t>
      </w:r>
      <w:r>
        <w:rPr>
          <w:rFonts w:ascii="Times New Roman" w:hAnsi="Times New Roman"/>
          <w:b/>
          <w:i w:val="false"/>
          <w:color w:val="000000"/>
          <w:sz w:val="22"/>
        </w:rPr>
        <w:t xml:space="preserve">(101A,252J) </w:t>
      </w:r>
      <w:r>
        <w:rPr>
          <w:rFonts w:ascii="Times New Roman" w:hAnsi="Times New Roman"/>
          <w:b/>
          <w:i w:val="false"/>
          <w:color w:val="000000"/>
          <w:sz w:val="22"/>
        </w:rPr>
        <w:t xml:space="preserve">Grounds for suspension, revocation, or denial of commercial explosive licenses; 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268.10(1)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refuse to issue a contractor or blaster license sought pursuant to Iowa Code section </w:t>
      </w:r>
      <w:hyperlink r:id="rId14">
        <w:r>
          <w:rPr>
            <w:rStyle w:val="Hyperlink"/>
            <w:rFonts w:ascii="Times New Roman" w:hAnsi="Times New Roman"/>
            <w:b w:val="false"/>
            <w:i w:val="false"/>
            <w:color w:val="000000"/>
            <w:sz w:val="22"/>
          </w:rPr>
          <w:t>101A.2</w:t>
        </w:r>
      </w:hyperlink>
      <w:r>
        <w:rPr>
          <w:rFonts w:ascii="Times New Roman" w:hAnsi="Times New Roman"/>
          <w:b w:val="false"/>
          <w:i w:val="false"/>
          <w:color w:val="000000"/>
          <w:sz w:val="22"/>
        </w:rPr>
        <w:t xml:space="preserve"> or may suspend or revoke such a license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Finding that the applicant or licensee is disqualified by any provision of federal or Iowa law from possessing explosives, firearms, or offensive weapons.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Finding that the applicant or licensee lacks sufficient knowledge of the use, handling, and storage of explosive materials to protect the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Finding that the applicant or licensee falsified information in the current or any previous license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Finding that the applicant or licensee has been adjudged mentally incompetent at any time by any court, been committed by any court to any mental institution, received inpatient treatment for any mental illness in the past three years, or received treatment by a health care professional for a serious mental illness or disorder that impairs a person’s capacity to function normally and safely, both toward themselves and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that the licensee or applicant has violated any provision of Iowa Code chapter </w:t>
      </w:r>
      <w:hyperlink r:id="rId15">
        <w:r>
          <w:rPr>
            <w:rStyle w:val="Hyperlink"/>
            <w:rFonts w:ascii="Times New Roman" w:hAnsi="Times New Roman"/>
            <w:b w:val="false"/>
            <w:i w:val="false"/>
            <w:color w:val="000000"/>
            <w:sz w:val="22"/>
          </w:rPr>
          <w:t>101A</w:t>
        </w:r>
      </w:hyperlink>
      <w:r>
        <w:rPr>
          <w:rFonts w:ascii="Times New Roman" w:hAnsi="Times New Roman"/>
          <w:b w:val="false"/>
          <w:i w:val="false"/>
          <w:color w:val="000000"/>
          <w:sz w:val="22"/>
        </w:rPr>
        <w:t xml:space="preserve"> or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Receipt of a certificate of noncompliance from the child support recovery unit of the Iowa department of health and human services pursuant to the procedures set forth in Iowa Code chapter </w:t>
      </w:r>
      <w:hyperlink r:id="rId16">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Receipt of a certificate of noncompliance from the centralized collection unit of the department of revenue pursuant to Iowa Code chapter </w:t>
      </w:r>
      <w:hyperlink r:id="rId17">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Conviction of a felony offense, if the offense directly relates to the profession or occupation of the applicant, in the courts of this state or another state, territory or country. Conviction as used in this subrule includes a conviction of an offense that if committed in this state would be a felony without regard to its designation elsewhere and includes a finding or verdict of guilt made or returned in a criminal proceeding even if the adjudication of guilt is withheld or not entered. A certified copy of the final order or judgment of conviction or plea of guilty in this state or in another state constitutes conclusive evidence of the conviction. If an applicant is denied under this provision, the applicant shall be notified of the specific reasons for the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 the practice of the applicant’s profession or engaging in unethical conduct or practice harmful or detrimental to the public. Proof of actual injury need not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Willful or repeated violations of the provisions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Disqualifications pursuant to Iowa Code section </w:t>
      </w:r>
      <w:hyperlink r:id="rId18">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268.10(2)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or licensee whose application is denied or a licensee whose license is suspended or revoked for a reason other than receipt of a certificate of noncompliance from the child support recovery unit or a certificate of noncompliance from the department of revenue may appeal that action by requesting a contested case hearing, in writing, within 20 days of the department’s determination. An appeal is subject to the provisions of 481—Chapters </w:t>
      </w:r>
      <w:hyperlink r:id="rId19">
        <w:r>
          <w:rPr>
            <w:rStyle w:val="Hyperlink"/>
            <w:rFonts w:ascii="Times New Roman" w:hAnsi="Times New Roman"/>
            <w:b w:val="false"/>
            <w:i w:val="false"/>
            <w:color w:val="000000"/>
            <w:sz w:val="22"/>
          </w:rPr>
          <w:t>9</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10</w:t>
        </w:r>
      </w:hyperlink>
      <w:r>
        <w:rPr>
          <w:rFonts w:ascii="Times New Roman" w:hAnsi="Times New Roman"/>
          <w:b w:val="false"/>
          <w:i w:val="false"/>
          <w:color w:val="000000"/>
          <w:sz w:val="22"/>
        </w:rPr>
        <w:t xml:space="preserve"> governing contested cases. Applicants or licensees whose licenses are denied, suspended, or revoked because of receipt by the department of a certificate of noncompliance issued by the child support recovery unit or the department of revenue are subject to the procedures set forth in </w:t>
      </w:r>
      <w:hyperlink r:id="rId21">
        <w:r>
          <w:rPr>
            <w:rStyle w:val="Hyperlink"/>
            <w:rFonts w:ascii="Times New Roman" w:hAnsi="Times New Roman"/>
            <w:b w:val="false"/>
            <w:i w:val="false"/>
            <w:color w:val="000000"/>
            <w:sz w:val="22"/>
          </w:rPr>
          <w:t>481—Chapter 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268.10(3)</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notify the employing commercial explosive contractor licensee of the denial, suspension, or revocation of a commercial explosive blaster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2">
        <w:r>
          <w:rPr>
            <w:rStyle w:val="Hyperlink"/>
            <w:rFonts w:ascii="Times New Roman" w:hAnsi="Times New Roman"/>
            <w:b w:val="false"/>
            <w:i w:val="false"/>
            <w:color w:val="000000"/>
            <w:sz w:val="22"/>
          </w:rPr>
          <w:t>101A</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9/22/05, Notice 3/16/05—published 10/12/05, effective 1/1/06]</w:t>
      </w:r>
    </w:p>
    <w:p>
      <w:pPr>
        <w:spacing w:before="0" w:after="0"/>
        <w:ind w:left="120"/>
        <w:jc w:val="center"/>
      </w:pPr>
      <w:r>
        <w:rPr>
          <w:rFonts w:ascii="Times New Roman" w:hAnsi="Times New Roman"/>
          <w:b w:val="false"/>
          <w:i w:val="false"/>
          <w:color w:val="000000"/>
          <w:sz w:val="21"/>
        </w:rPr>
        <w:t>[Filed ARC 8912C</w:t>
      </w:r>
      <w:r>
        <w:rPr>
          <w:rFonts w:ascii="Times New Roman" w:hAnsi="Times New Roman"/>
          <w:b w:val="false"/>
          <w:i w:val="false"/>
          <w:color w:val="000000"/>
          <w:sz w:val="21"/>
        </w:rPr>
        <w:t xml:space="preserve"> (Notice ARC 8668C, IAB 12/25/24)</w:t>
      </w:r>
      <w:r>
        <w:rPr>
          <w:rFonts w:ascii="Times New Roman" w:hAnsi="Times New Roman"/>
          <w:b w:val="false"/>
          <w:i w:val="false"/>
          <w:color w:val="000000"/>
          <w:sz w:val="21"/>
        </w:rPr>
        <w:t>, IAB 2/19/25, effective 3/26/25]</w:t>
      </w:r>
    </w:p>
    <w:p>
      <w:pPr>
        <w:spacing w:before="0" w:after="0"/>
        <w:ind w:left="120"/>
        <w:jc w:val="center"/>
      </w:pPr>
      <w:r>
        <w:rPr>
          <w:rFonts w:ascii="Times New Roman" w:hAnsi="Times New Roman"/>
          <w:b w:val="false"/>
          <w:i w:val="false"/>
          <w:color w:val="000000"/>
          <w:sz w:val="21"/>
        </w:rPr>
        <w:t>[Editorial change: IAC Supplement 7/9/25]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1A.1.pdf" Type="http://schemas.openxmlformats.org/officeDocument/2006/relationships/hyperlink" Id="rId5"/>
    <Relationship TargetMode="External" Target="https://www.legis.iowa.gov/docs/ico/chapter/101A.1.pdf" Type="http://schemas.openxmlformats.org/officeDocument/2006/relationships/hyperlink" Id="rId6"/>
    <Relationship TargetMode="External" Target="https://www.legis.iowa.gov/docs/ico/chapter/101A.2.pdf" Type="http://schemas.openxmlformats.org/officeDocument/2006/relationships/hyperlink" Id="rId7"/>
    <Relationship TargetMode="External" Target="https://www.legis.iowa.gov/docs/ico/chapter/101A.2.pdf" Type="http://schemas.openxmlformats.org/officeDocument/2006/relationships/hyperlink" Id="rId8"/>
    <Relationship TargetMode="External" Target="https://www.legis.iowa.gov/docs/ico/chapter/29A.1.pdf" Type="http://schemas.openxmlformats.org/officeDocument/2006/relationships/hyperlink" Id="rId9"/>
    <Relationship TargetMode="External" Target="https://www.legis.iowa.gov/docs/iac/chapter/481.7.pdf" Type="http://schemas.openxmlformats.org/officeDocument/2006/relationships/hyperlink" Id="rId10"/>
    <Relationship TargetMode="External" Target="https://www.legis.iowa.gov/docs/iac/rule/481.268.7.pdf" Type="http://schemas.openxmlformats.org/officeDocument/2006/relationships/hyperlink" Id="rId11"/>
    <Relationship TargetMode="External" Target="https://www.legis.iowa.gov/docs/iac/rule/481.268.1.pdf" Type="http://schemas.openxmlformats.org/officeDocument/2006/relationships/hyperlink" Id="rId12"/>
    <Relationship TargetMode="External" Target="https://www.legis.iowa.gov/docs/ico/chapter/101A.pdf" Type="http://schemas.openxmlformats.org/officeDocument/2006/relationships/hyperlink" Id="rId13"/>
    <Relationship TargetMode="External" Target="https://www.legis.iowa.gov/docs/ico/chapter/101A.2.pdf" Type="http://schemas.openxmlformats.org/officeDocument/2006/relationships/hyperlink" Id="rId14"/>
    <Relationship TargetMode="External" Target="https://www.legis.iowa.gov/docs/ico/chapter/101A.pdf" Type="http://schemas.openxmlformats.org/officeDocument/2006/relationships/hyperlink" Id="rId15"/>
    <Relationship TargetMode="External" Target="https://www.legis.iowa.gov/docs/ico/chapter/252J.pdf" Type="http://schemas.openxmlformats.org/officeDocument/2006/relationships/hyperlink" Id="rId16"/>
    <Relationship TargetMode="External" Target="https://www.legis.iowa.gov/docs/ico/chapter/272D.pdf" Type="http://schemas.openxmlformats.org/officeDocument/2006/relationships/hyperlink" Id="rId17"/>
    <Relationship TargetMode="External" Target="https://www.legis.iowa.gov/docs/ico/chapter/272C.15.pdf" Type="http://schemas.openxmlformats.org/officeDocument/2006/relationships/hyperlink" Id="rId18"/>
    <Relationship TargetMode="External" Target="https://www.legis.iowa.gov/docs/iac/chapter/481.9.pdf" Type="http://schemas.openxmlformats.org/officeDocument/2006/relationships/hyperlink" Id="rId19"/>
    <Relationship TargetMode="External" Target="https://www.legis.iowa.gov/docs/iac/chapter/481.10.pdf" Type="http://schemas.openxmlformats.org/officeDocument/2006/relationships/hyperlink" Id="rId20"/>
    <Relationship TargetMode="External" Target="https://www.legis.iowa.gov/docs/iac/chapter/481.8.pdf" Type="http://schemas.openxmlformats.org/officeDocument/2006/relationships/hyperlink" Id="rId21"/>
    <Relationship TargetMode="External" Target="https://www.legis.iowa.gov/docs/ico/chapter/101A.pdf" Type="http://schemas.openxmlformats.org/officeDocument/2006/relationships/hyperlink" Id="rId22"/>
    <Relationship TargetMode="External" Target="https://www.legis.iowa.gov/docs/ico/chapter/272C.pdf" Type="http://schemas.openxmlformats.org/officeDocument/2006/relationships/hyperlink" Id="rId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