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265</w:t>
      </w:r>
    </w:p>
    <w:p>
      <w:pPr>
        <w:spacing w:before="0" w:after="0"/>
        <w:ind w:left="120"/>
        <w:jc w:val="center"/>
      </w:pPr>
      <w:r>
        <w:rPr>
          <w:rFonts w:ascii="Times New Roman" w:hAnsi="Times New Roman"/>
          <w:b w:val="false"/>
          <w:i w:val="false"/>
          <w:color w:val="000000"/>
          <w:sz w:val="21"/>
        </w:rPr>
        <w:t>LICENSING OF FIRE PROTECTION SYSTEM CONTRACTORS</w:t>
      </w:r>
    </w:p>
    <w:p>
      <w:pPr>
        <w:spacing w:before="0" w:after="0"/>
        <w:ind w:left="120"/>
        <w:jc w:val="center"/>
      </w:pPr>
      <w:r>
        <w:rPr>
          <w:rFonts w:ascii="Times New Roman" w:hAnsi="Times New Roman"/>
          <w:b w:val="false"/>
          <w:i w:val="false"/>
          <w:color w:val="000000"/>
          <w:sz w:val="14"/>
        </w:rPr>
        <w:t>[Prior to 11/26/25, see Public Safety Department[661] Ch 275]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481—265.1</w:t>
      </w:r>
      <w:r>
        <w:rPr>
          <w:rFonts w:ascii="Times New Roman" w:hAnsi="Times New Roman"/>
          <w:b/>
          <w:i w:val="false"/>
          <w:color w:val="000000"/>
          <w:sz w:val="22"/>
        </w:rPr>
        <w:t xml:space="preserve">(100C) </w:t>
      </w:r>
      <w:r>
        <w:rPr>
          <w:rFonts w:ascii="Times New Roman" w:hAnsi="Times New Roman"/>
          <w:b/>
          <w:i w:val="false"/>
          <w:color w:val="000000"/>
          <w:sz w:val="22"/>
        </w:rPr>
        <w:t xml:space="preserve">Establishment of program. </w:t>
      </w:r>
      <w:r>
        <w:rPr>
          <w:rFonts w:ascii="Times New Roman" w:hAnsi="Times New Roman"/>
          <w:b w:val="false"/>
          <w:i w:val="false"/>
          <w:color w:val="000000"/>
          <w:sz w:val="22"/>
        </w:rPr>
        <w:t xml:space="preserve">The fire protection system contractor license is established pursuant to Iowa Code chapter </w:t>
      </w:r>
      <w:hyperlink r:id="rId5">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265.1(1)</w:t>
      </w:r>
      <w:r>
        <w:rPr>
          <w:rFonts w:ascii="Times New Roman" w:hAnsi="Times New Roman"/>
          <w:b w:val="false"/>
          <w:i w:val="false"/>
          <w:color w:val="000000"/>
          <w:sz w:val="22"/>
        </w:rPr>
        <w:t> </w:t>
      </w:r>
      <w:r>
        <w:rPr>
          <w:rFonts w:ascii="Times New Roman" w:hAnsi="Times New Roman"/>
          <w:b w:val="false"/>
          <w:i/>
          <w:color w:val="000000"/>
          <w:sz w:val="22"/>
        </w:rPr>
        <w:t xml:space="preserve">Licensure required. </w:t>
      </w:r>
      <w:r>
        <w:rPr>
          <w:rFonts w:ascii="Times New Roman" w:hAnsi="Times New Roman"/>
          <w:b w:val="false"/>
          <w:i w:val="false"/>
          <w:color w:val="000000"/>
          <w:sz w:val="22"/>
        </w:rPr>
        <w:t>No person shall act as a fire extinguishing system contractor without being currently licensed as a fire protection system contractor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265.1(2)</w:t>
      </w:r>
      <w:r>
        <w:rPr>
          <w:rFonts w:ascii="Times New Roman" w:hAnsi="Times New Roman"/>
          <w:b w:val="false"/>
          <w:i w:val="false"/>
          <w:color w:val="000000"/>
          <w:sz w:val="22"/>
        </w:rPr>
        <w:t> </w:t>
      </w:r>
      <w:r>
        <w:rPr>
          <w:rFonts w:ascii="Times New Roman" w:hAnsi="Times New Roman"/>
          <w:b w:val="false"/>
          <w:i/>
          <w:color w:val="000000"/>
          <w:sz w:val="22"/>
        </w:rPr>
        <w:t xml:space="preserve">Endorsement. </w:t>
      </w:r>
      <w:r>
        <w:rPr>
          <w:rFonts w:ascii="Times New Roman" w:hAnsi="Times New Roman"/>
          <w:b w:val="false"/>
          <w:i w:val="false"/>
          <w:color w:val="000000"/>
          <w:sz w:val="22"/>
        </w:rPr>
        <w:t>The licensure of each contractor will carry an endorsement for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Automatic sprinkler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hazards systems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Preengineered dry chemical or wet agent fire suppression systems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Preengineered water-based fire suppression systems in one- and two-family dwellings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Automatic sprinkler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Special hazards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Preengineered dry chemical or wet agent fire suppression systems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Preengineered water-based fire suppression systems in one- and two-family dwellings maintenance inspection.</w:t>
      </w:r>
    </w:p>
    <w:p>
      <w:pPr>
        <w:spacing w:before="0" w:after="0"/>
        <w:ind w:left="120"/>
        <w:jc w:val="both"/>
      </w:pPr>
      <w:r>
        <w:rPr>
          <w:rFonts w:ascii="Times New Roman" w:hAnsi="Times New Roman"/>
          <w:b w:val="false"/>
          <w:i w:val="false"/>
          <w:color w:val="000000"/>
          <w:sz w:val="22"/>
        </w:rPr>
        <w:t>Any person acting as a fire extinguishing system contractor shall do so only in relation to systems covered by the endorsements on the contractor’s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265.1(3)</w:t>
      </w:r>
      <w:r>
        <w:rPr>
          <w:rFonts w:ascii="Times New Roman" w:hAnsi="Times New Roman"/>
          <w:b w:val="false"/>
          <w:i w:val="false"/>
          <w:color w:val="000000"/>
          <w:sz w:val="22"/>
        </w:rPr>
        <w:t> </w:t>
      </w:r>
      <w:r>
        <w:rPr>
          <w:rFonts w:ascii="Times New Roman" w:hAnsi="Times New Roman"/>
          <w:b w:val="false"/>
          <w:i/>
          <w:color w:val="000000"/>
          <w:sz w:val="22"/>
        </w:rPr>
        <w:t xml:space="preserve">Length of licensure. </w:t>
      </w:r>
      <w:r>
        <w:rPr>
          <w:rFonts w:ascii="Times New Roman" w:hAnsi="Times New Roman"/>
          <w:b w:val="false"/>
          <w:i w:val="false"/>
          <w:color w:val="000000"/>
          <w:sz w:val="22"/>
        </w:rPr>
        <w:t>A license is normally for one year and expires on March 31 each year. A license which is effective on a date other than April 1 is effective on the date on which the license is issued and expires on March 31 of the following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481—265.2</w:t>
      </w:r>
      <w:r>
        <w:rPr>
          <w:rFonts w:ascii="Times New Roman" w:hAnsi="Times New Roman"/>
          <w:b/>
          <w:i w:val="false"/>
          <w:color w:val="000000"/>
          <w:sz w:val="22"/>
        </w:rPr>
        <w:t xml:space="preserve">(100C)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“Aerosol fire extinguishing system” </w:t>
      </w:r>
      <w:r>
        <w:rPr>
          <w:rFonts w:ascii="Times New Roman" w:hAnsi="Times New Roman"/>
          <w:b w:val="false"/>
          <w:i w:val="false"/>
          <w:color w:val="000000"/>
          <w:sz w:val="22"/>
        </w:rPr>
        <w:t>means a system that uses a combination of microparticles and gaseous matter to flood the protected area. The particles are in a vapor state until discharged from the device. On release, a chain reaction produces solid particles and gaseous matter to suppress the fire.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“Automatic dry-chemical extinguishing system”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100C.1(4)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“Automatic fire extinguishing system”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100C.1(5)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“Automatic sprinkler system”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100C.1(6)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“Carbon dioxide extinguishing system”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100C.1(7)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“Clean agent” </w:t>
      </w:r>
      <w:r>
        <w:rPr>
          <w:rFonts w:ascii="Times New Roman" w:hAnsi="Times New Roman"/>
          <w:b w:val="false"/>
          <w:i w:val="false"/>
          <w:color w:val="000000"/>
          <w:sz w:val="22"/>
        </w:rPr>
        <w:t>means an electrically nonconducting, volatile, or gaseous fire extinguishant that does not leave a residue upon evaporation.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“Deluge system”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100C.1(8)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“Dry chemical” </w:t>
      </w:r>
      <w:r>
        <w:rPr>
          <w:rFonts w:ascii="Times New Roman" w:hAnsi="Times New Roman"/>
          <w:b w:val="false"/>
          <w:i w:val="false"/>
          <w:color w:val="000000"/>
          <w:sz w:val="22"/>
        </w:rPr>
        <w:t>means a powder composed of very small particles, usually sodium bicarbonate-, potassium bicarbonate-, or ammonium phosphate-based, with added particulate material supplemented by special treatment to provide resistance to packing, resistance to moisture absorption (caking), and the proper flow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“Dry pipe sprinkler system” </w:t>
      </w:r>
      <w:r>
        <w:rPr>
          <w:rFonts w:ascii="Times New Roman" w:hAnsi="Times New Roman"/>
          <w:b w:val="false"/>
          <w:i w:val="false"/>
          <w:color w:val="000000"/>
          <w:sz w:val="22"/>
        </w:rPr>
        <w:t>means an extinguishing system employing automatic sprinklers that are attached to a piping system containing air or nitrogen under pressure, the release of which (as from the opening of a sprinkler) permits the water pressure to open a valve known as a dry pipe valve, which allows the water to flow into the piping system and out the opened sprinklers.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“Fire extinguishing system contractor,” “fire protection system contractor,”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“contractor”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100C.1(10)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“Foam extinguishing system”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100C.1(11)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“Halogenated extinguishing system”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100C.1(12)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“Hybrid-inert water mist system” </w:t>
      </w:r>
      <w:r>
        <w:rPr>
          <w:rFonts w:ascii="Times New Roman" w:hAnsi="Times New Roman"/>
          <w:b w:val="false"/>
          <w:i w:val="false"/>
          <w:color w:val="000000"/>
          <w:sz w:val="22"/>
        </w:rPr>
        <w:t>means a system that combines the benefits of inert gas systems and water mist systems to extinguish fires. These systems provide both extinguishment and cooling to prevent reignition utilizing nontoxic, non-ozone-depleting hybrid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“Layout” </w:t>
      </w:r>
      <w:r>
        <w:rPr>
          <w:rFonts w:ascii="Times New Roman" w:hAnsi="Times New Roman"/>
          <w:b w:val="false"/>
          <w:i w:val="false"/>
          <w:color w:val="000000"/>
          <w:sz w:val="22"/>
        </w:rPr>
        <w:t>means drawings, calculations and component specifications to achieve the specified system design installation. “Layout” does not include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“Listed” </w:t>
      </w:r>
      <w:r>
        <w:rPr>
          <w:rFonts w:ascii="Times New Roman" w:hAnsi="Times New Roman"/>
          <w:b w:val="false"/>
          <w:i w:val="false"/>
          <w:color w:val="000000"/>
          <w:sz w:val="22"/>
        </w:rPr>
        <w:t>means equipment, materials, or services included in a list published by a nationally recognized independent testing organization concerned with evaluation of products or services that maintains periodic inspection of production of listed equipment or materials or periodic evaluation of services and whose listing states that either the equipment, material, or service meets appropriate designated standards or has been tested and found suitable for a specified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 inspection”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100C.1(13)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“Preengineered dry chemical or wet agent fire suppression system” </w:t>
      </w:r>
      <w:r>
        <w:rPr>
          <w:rFonts w:ascii="Times New Roman" w:hAnsi="Times New Roman"/>
          <w:b w:val="false"/>
          <w:i w:val="false"/>
          <w:color w:val="000000"/>
          <w:sz w:val="22"/>
        </w:rPr>
        <w:t>means any system having predetermined flow rates, nozzle pressures and limited quantities of either agent. These systems have specific pipe sizes, maximum and minimum pipe lengths, flexible hose specifications, number of fittings and number and types of nozzles prescribed by a nationally recognized testing laboratory. The hazards against which these systems protect are specifically limited by the testing laboratory as to the type and size based upon actual fire tests. Limitations on hazards that can be protected against by these systems are contained in the manufacturer’s installation manual, which is referenced as part of the listing.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“Preengineered water-based system” </w:t>
      </w:r>
      <w:r>
        <w:rPr>
          <w:rFonts w:ascii="Times New Roman" w:hAnsi="Times New Roman"/>
          <w:b w:val="false"/>
          <w:i w:val="false"/>
          <w:color w:val="000000"/>
          <w:sz w:val="22"/>
        </w:rPr>
        <w:t>means a packaged, water-based sprinkler system including all components connected to a water supply and designed to be installed according to pretested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managing employee”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100C.1(14)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hazards system” </w:t>
      </w:r>
      <w:r>
        <w:rPr>
          <w:rFonts w:ascii="Times New Roman" w:hAnsi="Times New Roman"/>
          <w:b w:val="false"/>
          <w:i w:val="false"/>
          <w:color w:val="000000"/>
          <w:sz w:val="22"/>
        </w:rPr>
        <w:t>means a fire extinguishing system utilizing fire detection and control methods to release an extinguishing agent, other than water connected to a dedicated fire protection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“Wet agent”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“wet chemical” </w:t>
      </w:r>
      <w:r>
        <w:rPr>
          <w:rFonts w:ascii="Times New Roman" w:hAnsi="Times New Roman"/>
          <w:b w:val="false"/>
          <w:i w:val="false"/>
          <w:color w:val="000000"/>
          <w:sz w:val="22"/>
        </w:rPr>
        <w:t>means an aqueous solution of organic or inorganic salts or a combination thereof that forms an extinguishing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481—265.3</w:t>
      </w:r>
      <w:r>
        <w:rPr>
          <w:rFonts w:ascii="Times New Roman" w:hAnsi="Times New Roman"/>
          <w:b/>
          <w:i w:val="false"/>
          <w:color w:val="000000"/>
          <w:sz w:val="22"/>
        </w:rPr>
        <w:t xml:space="preserve">(100C) </w:t>
      </w:r>
      <w:r>
        <w:rPr>
          <w:rFonts w:ascii="Times New Roman" w:hAnsi="Times New Roman"/>
          <w:b/>
          <w:i w:val="false"/>
          <w:color w:val="000000"/>
          <w:sz w:val="22"/>
        </w:rPr>
        <w:t xml:space="preserve">Responsible managing employee. </w:t>
      </w:r>
      <w:r>
        <w:rPr>
          <w:rFonts w:ascii="Times New Roman" w:hAnsi="Times New Roman"/>
          <w:b w:val="false"/>
          <w:i w:val="false"/>
          <w:color w:val="000000"/>
          <w:sz w:val="22"/>
        </w:rPr>
        <w:t xml:space="preserve">Each fire extinguishing system contractor shall designate a responsible managing employee and may designate one or more alternate responsible managing employees. A contractor may designate more than one responsible managing employee in order to satisfy the requirements for more than one endorsement as provided in subrule </w:t>
      </w:r>
      <w:hyperlink r:id="rId16">
        <w:r>
          <w:rPr>
            <w:rStyle w:val="Hyperlink"/>
            <w:rFonts w:ascii="Times New Roman" w:hAnsi="Times New Roman"/>
            <w:b w:val="false"/>
            <w:i w:val="false"/>
            <w:color w:val="000000"/>
            <w:sz w:val="22"/>
          </w:rPr>
          <w:t>265.1(2)</w:t>
        </w:r>
      </w:hyperlink>
      <w:r>
        <w:rPr>
          <w:rFonts w:ascii="Times New Roman" w:hAnsi="Times New Roman"/>
          <w:b w:val="false"/>
          <w:i w:val="false"/>
          <w:color w:val="000000"/>
          <w:sz w:val="22"/>
        </w:rPr>
        <w:t>. If more than one responsible managing employee is designated, the contractor will indicate for which responsible managing employee each designated alternate managing employee serves as an alternate.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265.3(1)</w:t>
      </w:r>
      <w:r>
        <w:rPr>
          <w:rFonts w:ascii="Times New Roman" w:hAnsi="Times New Roman"/>
          <w:b w:val="false"/>
          <w:i w:val="false"/>
          <w:color w:val="000000"/>
          <w:sz w:val="22"/>
        </w:rPr>
        <w:t> </w:t>
      </w:r>
      <w:r>
        <w:rPr>
          <w:rFonts w:ascii="Times New Roman" w:hAnsi="Times New Roman"/>
          <w:b w:val="false"/>
          <w:i w:val="false"/>
          <w:color w:val="000000"/>
          <w:sz w:val="22"/>
        </w:rPr>
        <w:t>The responsible managing employee or employees shall be designated in the application for licensure, and, if a responsible managing employee is no longer acting in that role, the contractor shall so notify the department, in writing, within 30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265.3(2)</w:t>
      </w:r>
      <w:r>
        <w:rPr>
          <w:rFonts w:ascii="Times New Roman" w:hAnsi="Times New Roman"/>
          <w:b w:val="false"/>
          <w:i w:val="false"/>
          <w:color w:val="000000"/>
          <w:sz w:val="22"/>
        </w:rPr>
        <w:t> </w:t>
      </w:r>
      <w:r>
        <w:rPr>
          <w:rFonts w:ascii="Times New Roman" w:hAnsi="Times New Roman"/>
          <w:b w:val="false"/>
          <w:i w:val="false"/>
          <w:color w:val="000000"/>
          <w:sz w:val="22"/>
        </w:rPr>
        <w:t>If a responsible managing employee is no longer acting in that role and the contractor has designated an alternate responsible managing employee, the alternate responsible managing employee will become the responsible managing employee and the contractor shall so notify the department, in writing, within 30 calendar days of the date on which the preceding responsible managing employee ceased to act in that role. If the contractor has designated more than one alternate responsible managing employee, the notice to the department will indicate which alternate responsible managing employee has assumed the position of responsible managing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265.3(3)</w:t>
      </w:r>
      <w:r>
        <w:rPr>
          <w:rFonts w:ascii="Times New Roman" w:hAnsi="Times New Roman"/>
          <w:b w:val="false"/>
          <w:i w:val="false"/>
          <w:color w:val="000000"/>
          <w:sz w:val="22"/>
        </w:rPr>
        <w:t> </w:t>
      </w:r>
      <w:r>
        <w:rPr>
          <w:rFonts w:ascii="Times New Roman" w:hAnsi="Times New Roman"/>
          <w:b w:val="false"/>
          <w:i w:val="false"/>
          <w:color w:val="000000"/>
          <w:sz w:val="22"/>
        </w:rPr>
        <w:t>If a responsible managing employee designated by a fire extinguishing system contractor is no longer acting in the role of responsible managing employee and the contractor has not designated an alternate responsible managing employee, the contractor shall designate a new responsible managing employee and shall notify the department, in writing, of the designation within six months of the date on which the former responsible managing employee ceased to act in that capacity. If the department has not been notified of the appointment of a new responsible managing employee within six months of the date on which a responsible managing employee ceased serving in that capacity, the department shall suspend the license of the fire protection system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265.3(4)</w:t>
      </w:r>
      <w:r>
        <w:rPr>
          <w:rFonts w:ascii="Times New Roman" w:hAnsi="Times New Roman"/>
          <w:b w:val="false"/>
          <w:i w:val="false"/>
          <w:color w:val="000000"/>
          <w:sz w:val="22"/>
        </w:rPr>
        <w:t> </w:t>
      </w:r>
      <w:r>
        <w:rPr>
          <w:rFonts w:ascii="Times New Roman" w:hAnsi="Times New Roman"/>
          <w:b w:val="false"/>
          <w:i w:val="false"/>
          <w:color w:val="000000"/>
          <w:sz w:val="22"/>
        </w:rPr>
        <w:t>Training requirements. A responsible managing employee or an alternate responsible managing employee shall meet one of the requirements for the following endorsements: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Automatic sprinkler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fire extinguishing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National Institute for Certification in Engineering Technologies (NICET) at level III or above in water-based systems layout.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hazards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fire extinguishing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III or above in special hazard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Preengineered dry chemical or wet agent fire suppression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II or above in special hazard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National Association of Fire Equipment Distributors (NAFED) in preengineered kitchen fire suppression systems, preengineered industrial fire suppression systems, or both,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Satisfactory completion of any training required by the manufacturer for the installation of any system the contractor installs.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Preengineered water-based fire suppression system in one- and two-family dwellings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II or above in special hazard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Satisfactory completion of any training required by the manufacturer for the installation of any system the contractor installs.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Automatic sprinkler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from the NICET at level II in water-based system layout,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II or above in inspection and testing of water-based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Special hazards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II or above in special hazard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Preengineered dry chemical or wet agent fire suppression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special hazard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NAFED in preengineered kitchen fire suppression systems, preengineered industrial fire suppression systems, or both,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Satisfactory completion of any training required by the manufacturer for the maintenance and inspection of any system the contractor inspects.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Preengineered water-based fire suppression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special hazard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Satisfactory completion of any training required by the manufacturer for the maintenance and inspection of any system the contractor inspects.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265.3(5)</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or testing approval. Satisfactory completion of an applicable training or testing program that has been approved by the department may replace any of the endorsement requirements of subrule </w:t>
      </w:r>
      <w:hyperlink r:id="rId17">
        <w:r>
          <w:rPr>
            <w:rStyle w:val="Hyperlink"/>
            <w:rFonts w:ascii="Times New Roman" w:hAnsi="Times New Roman"/>
            <w:b w:val="false"/>
            <w:i w:val="false"/>
            <w:color w:val="000000"/>
            <w:sz w:val="22"/>
          </w:rPr>
          <w:t>265.3(4)</w:t>
        </w:r>
      </w:hyperlink>
      <w:r>
        <w:rPr>
          <w:rFonts w:ascii="Times New Roman" w:hAnsi="Times New Roman"/>
          <w:b w:val="false"/>
          <w:i w:val="false"/>
          <w:color w:val="000000"/>
          <w:sz w:val="22"/>
        </w:rPr>
        <w:t>. In any case in which training or testing that is offered to satisfy the requirements of this rule is required to be approved by the department, such approval is required prior to acceptance of the training or testing to meet licensure requirements. Approval by the department of any training or testing to meet these requirements may be sought by the individual, firm, or organization providing the testing or training or initiated by the department. Any individual, firm or organization seeking to obtain such approval will apply to the department no later than July 1 every odd-numbered year. Program information and any other documentation requested by the department for consideration shall be submitted to the department. Training and testing approved by the department is listed on the department’s licensing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265.3(6)</w:t>
      </w:r>
      <w:r>
        <w:rPr>
          <w:rFonts w:ascii="Times New Roman" w:hAnsi="Times New Roman"/>
          <w:b w:val="false"/>
          <w:i w:val="false"/>
          <w:color w:val="000000"/>
          <w:sz w:val="22"/>
        </w:rPr>
        <w:t> </w:t>
      </w:r>
      <w:r>
        <w:rPr>
          <w:rFonts w:ascii="Times New Roman" w:hAnsi="Times New Roman"/>
          <w:b w:val="false"/>
          <w:i w:val="false"/>
          <w:color w:val="000000"/>
          <w:sz w:val="22"/>
        </w:rPr>
        <w:t>License applicability. Work performed by a contractor subject to these rules shall be limited to areas of competence indicated by the specific certification or other training requirements met by the responsible managing employee. Work performed in the state shall not begin prior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Receipt of new or renewed license issued by the department to the applicant,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Receipt of written approval to perform work prior to issuance of a new or renewed license from the department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265.3(7)</w:t>
      </w:r>
      <w:r>
        <w:rPr>
          <w:rFonts w:ascii="Times New Roman" w:hAnsi="Times New Roman"/>
          <w:b w:val="false"/>
          <w:i w:val="false"/>
          <w:color w:val="000000"/>
          <w:sz w:val="22"/>
        </w:rPr>
        <w:t> </w:t>
      </w:r>
      <w:r>
        <w:rPr>
          <w:rFonts w:ascii="Times New Roman" w:hAnsi="Times New Roman"/>
          <w:b w:val="false"/>
          <w:i w:val="false"/>
          <w:color w:val="000000"/>
          <w:sz w:val="22"/>
        </w:rPr>
        <w:t>Portable fire extinguisher requirements. Nothing in this rule shall be interpreted to conflict with or diminish any requirement for training or certification for anyone installing or servicing a fire extinguishing system or portable fire extinguisher set forth in any rule of the department or local fire ordinance or standard adopted by reference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265.3(8)</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of persons licensed in other jurisdictions. A fire protection system contractor license may be issued without examination to a person licensed in other jurisdictions if the conditions of Iowa Code section </w:t>
      </w:r>
      <w:hyperlink r:id="rId18">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xml:space="preserve">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481—265.4</w:t>
      </w:r>
      <w:r>
        <w:rPr>
          <w:rFonts w:ascii="Times New Roman" w:hAnsi="Times New Roman"/>
          <w:b/>
          <w:i w:val="false"/>
          <w:color w:val="000000"/>
          <w:sz w:val="22"/>
        </w:rPr>
        <w:t xml:space="preserve">(100C) </w:t>
      </w:r>
      <w:r>
        <w:rPr>
          <w:rFonts w:ascii="Times New Roman" w:hAnsi="Times New Roman"/>
          <w:b/>
          <w:i w:val="false"/>
          <w:color w:val="000000"/>
          <w:sz w:val="22"/>
        </w:rPr>
        <w:t xml:space="preserve">License requirements. </w:t>
      </w:r>
      <w:r>
        <w:rPr>
          <w:rFonts w:ascii="Times New Roman" w:hAnsi="Times New Roman"/>
          <w:b w:val="false"/>
          <w:i w:val="false"/>
          <w:color w:val="000000"/>
          <w:sz w:val="22"/>
        </w:rPr>
        <w:t>A fire extinguishing system contractor shall meet all of the following requirements in order to receive licensure from the department and continue to meet all requirements throughout the period of licensure. The contractor shall notify the department, in writing, within 30 calendar days if the contractor fails to meet any requirement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contractor shall designate one or more responsible managing employees as provided in rule </w:t>
      </w:r>
      <w:hyperlink r:id="rId19">
        <w:r>
          <w:rPr>
            <w:rStyle w:val="Hyperlink"/>
            <w:rFonts w:ascii="Times New Roman" w:hAnsi="Times New Roman"/>
            <w:b w:val="false"/>
            <w:i w:val="false"/>
            <w:color w:val="000000"/>
            <w:sz w:val="22"/>
          </w:rPr>
          <w:t>481—265.3</w:t>
        </w:r>
      </w:hyperlink>
      <w:r>
        <w:rPr>
          <w:rFonts w:ascii="Times New Roman" w:hAnsi="Times New Roman"/>
          <w:b w:val="false"/>
          <w:i w:val="false"/>
          <w:color w:val="000000"/>
          <w:sz w:val="22"/>
        </w:rPr>
        <w:t>(100C).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265.4(2)</w:t>
      </w:r>
      <w:r>
        <w:rPr>
          <w:rFonts w:ascii="Times New Roman" w:hAnsi="Times New Roman"/>
          <w:b w:val="false"/>
          <w:i w:val="false"/>
          <w:color w:val="000000"/>
          <w:sz w:val="22"/>
        </w:rPr>
        <w:t> </w:t>
      </w:r>
      <w:r>
        <w:rPr>
          <w:rFonts w:ascii="Times New Roman" w:hAnsi="Times New Roman"/>
          <w:b w:val="false"/>
          <w:i w:val="false"/>
          <w:color w:val="000000"/>
          <w:sz w:val="22"/>
        </w:rPr>
        <w:t>The contractor shall maintain general and complete operations liability insurance for the layout, installation, repair, alteration, addition, maintenance, and inspection of automatic fire extinguishing systems in the following amounts: $500,000 per person, $1,000,000 per occurrence, and $1,000,000 property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carrier of any insurance coverage maintained to meet this requirement shall notify the department 30 days prior to the effective date of cancellation or reduction of the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contractor shall cease operation immediately if the insurance coverage required by this subrule is no longer in force and other insurance coverage meeting the requirements of this subrule is not in force. A contractor shall not initiate any installation of a fire extinguishing system that cannot reasonably be expected to be completed prior to the effective date of the cancellation of the insurance coverage required by this subrule and of which the contractor has received notice, unless new insurance coverage meeting the requirements of this subrule has been obtained and will be in force upon cancellation of the prior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contractor shall maintain current registration as a contractor with the labor services division of the Iowa workforce development department in compliance with Iowa Code chapter </w:t>
      </w:r>
      <w:hyperlink r:id="rId20">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481—Chapter 465</w:t>
        </w:r>
      </w:hyperlink>
      <w:r>
        <w:rPr>
          <w:rFonts w:ascii="Times New Roman" w:hAnsi="Times New Roman"/>
          <w:b w:val="false"/>
          <w:i w:val="false"/>
          <w:color w:val="000000"/>
          <w:sz w:val="22"/>
        </w:rPr>
        <w:t>. The contractor shall provide a copy of the contractor’s current registration from the Iowa workforce development department with the contractor’s application for licensure.</w:t>
      </w:r>
    </w:p>
    <w:p>
      <w:pPr>
        <w:spacing w:before="0" w:after="0"/>
        <w:ind w:left="120"/>
        <w:jc w:val="both"/>
      </w:pPr>
      <w:r>
        <w:rPr>
          <w:rFonts w:ascii="Times New Roman" w:hAnsi="Times New Roman"/>
          <w:b w:val="false"/>
          <w:i w:val="false"/>
          <w:color w:val="000000"/>
          <w:sz w:val="22"/>
        </w:rPr>
        <w:t>E</w:t>
      </w:r>
      <w:r>
        <w:rPr>
          <w:rFonts w:ascii="Times New Roman" w:hAnsi="Times New Roman"/>
          <w:b w:val="false"/>
          <w:i w:val="false"/>
          <w:color w:val="000000"/>
          <w:sz w:val="22"/>
        </w:rPr>
        <w:t>XCEPTION</w:t>
      </w:r>
      <w:r>
        <w:rPr>
          <w:rFonts w:ascii="Times New Roman" w:hAnsi="Times New Roman"/>
          <w:b w:val="false"/>
          <w:i w:val="false"/>
          <w:color w:val="000000"/>
          <w:sz w:val="22"/>
        </w:rPr>
        <w:t xml:space="preserve">: A contractor will not be required to maintain registration with the labor services division of the Iowa workforce development department if the contractor does not meet the definition of “contractor” for purposes of Iowa Code chapter </w:t>
      </w:r>
      <w:hyperlink r:id="rId22">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 xml:space="preserve"> and 481—Chapter 465. Written documentation of such exemption must be provided to the department at the time of application for licensure as a fire protection system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265.4(4)</w:t>
      </w:r>
      <w:r>
        <w:rPr>
          <w:rFonts w:ascii="Times New Roman" w:hAnsi="Times New Roman"/>
          <w:b w:val="false"/>
          <w:i w:val="false"/>
          <w:color w:val="000000"/>
          <w:sz w:val="22"/>
        </w:rPr>
        <w:t> </w:t>
      </w:r>
      <w:r>
        <w:rPr>
          <w:rFonts w:ascii="Times New Roman" w:hAnsi="Times New Roman"/>
          <w:b w:val="false"/>
          <w:i w:val="false"/>
          <w:color w:val="000000"/>
          <w:sz w:val="22"/>
        </w:rPr>
        <w:t>The contractor shall maintain compliance with all other applicable provisions of law related to operation in the state of Iowa and of any political subdivision in which the contractor is performing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265.4(5)</w:t>
      </w:r>
      <w:r>
        <w:rPr>
          <w:rFonts w:ascii="Times New Roman" w:hAnsi="Times New Roman"/>
          <w:b w:val="false"/>
          <w:i w:val="false"/>
          <w:color w:val="000000"/>
          <w:sz w:val="22"/>
        </w:rPr>
        <w:t> </w:t>
      </w:r>
      <w:r>
        <w:rPr>
          <w:rFonts w:ascii="Times New Roman" w:hAnsi="Times New Roman"/>
          <w:b w:val="false"/>
          <w:i w:val="false"/>
          <w:color w:val="000000"/>
          <w:sz w:val="22"/>
        </w:rPr>
        <w:t>A license may be renewed only if the licensee has completed recertification of the applicable requirements relative to the endorsements for which the licensee is renewing.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265.4(6)</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individual while serving honorably on federal active duty, state active duty, or national guard duty, as defined in Iowa Code section </w:t>
      </w:r>
      <w:hyperlink r:id="rId23">
        <w:r>
          <w:rPr>
            <w:rStyle w:val="Hyperlink"/>
            <w:rFonts w:ascii="Times New Roman" w:hAnsi="Times New Roman"/>
            <w:b w:val="false"/>
            <w:i w:val="false"/>
            <w:color w:val="000000"/>
            <w:sz w:val="22"/>
          </w:rPr>
          <w:t>29A.1</w:t>
        </w:r>
      </w:hyperlink>
      <w:r>
        <w:rPr>
          <w:rFonts w:ascii="Times New Roman" w:hAnsi="Times New Roman"/>
          <w:b w:val="false"/>
          <w:i w:val="false"/>
          <w:color w:val="000000"/>
          <w:sz w:val="22"/>
        </w:rPr>
        <w:t xml:space="preserve">, applying for licensure as a fire protection system contractor shall apply for licensure following </w:t>
      </w:r>
      <w:hyperlink r:id="rId24">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481—265.5</w:t>
      </w:r>
      <w:r>
        <w:rPr>
          <w:rFonts w:ascii="Times New Roman" w:hAnsi="Times New Roman"/>
          <w:b/>
          <w:i w:val="false"/>
          <w:color w:val="000000"/>
          <w:sz w:val="22"/>
        </w:rPr>
        <w:t xml:space="preserve">(100C) </w:t>
      </w:r>
      <w:r>
        <w:rPr>
          <w:rFonts w:ascii="Times New Roman" w:hAnsi="Times New Roman"/>
          <w:b/>
          <w:i w:val="false"/>
          <w:color w:val="000000"/>
          <w:sz w:val="22"/>
        </w:rPr>
        <w:t xml:space="preserve">Application and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Any contractor seeking licensure as a fire protection system contractor shall submit a completed application form to the department. The application shall be filed no later than 30 days prior to the date of beginning work in this state or the date on which an existing license expires. An application form may be obtained from the department or the department’s website. The application form shall be submitted with all required attachments and the required application fee. An application will not be considered complete unless all required information is submitted, including required attachments and fees, and will not be processed until it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265.5(2)</w:t>
      </w:r>
      <w:r>
        <w:rPr>
          <w:rFonts w:ascii="Times New Roman" w:hAnsi="Times New Roman"/>
          <w:b w:val="false"/>
          <w:i w:val="false"/>
          <w:color w:val="000000"/>
          <w:sz w:val="22"/>
        </w:rPr>
        <w:t> </w:t>
      </w:r>
      <w:r>
        <w:rPr>
          <w:rFonts w:ascii="Times New Roman" w:hAnsi="Times New Roman"/>
          <w:b w:val="false"/>
          <w:i/>
          <w:color w:val="000000"/>
          <w:sz w:val="22"/>
        </w:rPr>
        <w:t xml:space="preserve">License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 fee is $500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application for licensure provides for more than one responsible managing employee pursuant to rule </w:t>
      </w:r>
      <w:hyperlink r:id="rId25">
        <w:r>
          <w:rPr>
            <w:rStyle w:val="Hyperlink"/>
            <w:rFonts w:ascii="Times New Roman" w:hAnsi="Times New Roman"/>
            <w:b w:val="false"/>
            <w:i w:val="false"/>
            <w:color w:val="000000"/>
            <w:sz w:val="22"/>
          </w:rPr>
          <w:t>481—265.3</w:t>
        </w:r>
      </w:hyperlink>
      <w:r>
        <w:rPr>
          <w:rFonts w:ascii="Times New Roman" w:hAnsi="Times New Roman"/>
          <w:b w:val="false"/>
          <w:i w:val="false"/>
          <w:color w:val="000000"/>
          <w:sz w:val="22"/>
        </w:rPr>
        <w:t xml:space="preserve">(100C), there will be an additional fee of $50 for each responsible managing employee beyond the first. If an application for licensure provides for more than one endorsement as provided in subrule </w:t>
      </w:r>
      <w:hyperlink r:id="rId26">
        <w:r>
          <w:rPr>
            <w:rStyle w:val="Hyperlink"/>
            <w:rFonts w:ascii="Times New Roman" w:hAnsi="Times New Roman"/>
            <w:b w:val="false"/>
            <w:i w:val="false"/>
            <w:color w:val="000000"/>
            <w:sz w:val="22"/>
          </w:rPr>
          <w:t>265.1(2)</w:t>
        </w:r>
      </w:hyperlink>
      <w:r>
        <w:rPr>
          <w:rFonts w:ascii="Times New Roman" w:hAnsi="Times New Roman"/>
          <w:b w:val="false"/>
          <w:i w:val="false"/>
          <w:color w:val="000000"/>
          <w:sz w:val="22"/>
        </w:rPr>
        <w:t>, there will be an additional fee of $50 for each endorsement beyond the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waive any fee charged to an applicant for a license if the applicant’s household income does not exceed 200 percent of the federal poverty income guidelines and the applicant is applying for the license for the first time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265.5(3)</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license fee may be submitted electronically or delivered by draft, check, or money order in the applicable amount payable to the department. Cash payments are not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265.5(4)</w:t>
      </w:r>
      <w:r>
        <w:rPr>
          <w:rFonts w:ascii="Times New Roman" w:hAnsi="Times New Roman"/>
          <w:b w:val="false"/>
          <w:i w:val="false"/>
          <w:color w:val="000000"/>
          <w:sz w:val="22"/>
        </w:rPr>
        <w:t> </w:t>
      </w:r>
      <w:r>
        <w:rPr>
          <w:rFonts w:ascii="Times New Roman" w:hAnsi="Times New Roman"/>
          <w:b w:val="false"/>
          <w:i/>
          <w:color w:val="000000"/>
          <w:sz w:val="22"/>
        </w:rPr>
        <w:t xml:space="preserve">Amended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fee for issuance of an amended license is the difference between the original license fee paid and changes in endorsement(s) or responsible managing employee(s), if applicable. The fee shall be submitted with the request for an amended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contractor will request and the department will issue an amended license for any of the following reasons, and a fee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change in the designation of a responsible managing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change in insurance coverage;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change in any other material information included in or with the initial or renewal application. A change in the address of the business is a material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changes in the information required in the application form, including renewal of insurance coverage with a new expiration date, shall be reported to the department but will not require issuance of an amended license or payment of the amended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265.5(5)</w:t>
      </w:r>
      <w:r>
        <w:rPr>
          <w:rFonts w:ascii="Times New Roman" w:hAnsi="Times New Roman"/>
          <w:b w:val="false"/>
          <w:i w:val="false"/>
          <w:color w:val="000000"/>
          <w:sz w:val="22"/>
        </w:rPr>
        <w:t> </w:t>
      </w:r>
      <w:r>
        <w:rPr>
          <w:rFonts w:ascii="Times New Roman" w:hAnsi="Times New Roman"/>
          <w:b w:val="false"/>
          <w:i/>
          <w:color w:val="000000"/>
          <w:sz w:val="22"/>
        </w:rPr>
        <w:t xml:space="preserve">Attachments. </w:t>
      </w:r>
      <w:r>
        <w:rPr>
          <w:rFonts w:ascii="Times New Roman" w:hAnsi="Times New Roman"/>
          <w:b w:val="false"/>
          <w:i w:val="false"/>
          <w:color w:val="000000"/>
          <w:sz w:val="22"/>
        </w:rPr>
        <w:t>Required attachments to the application for licensure are outlined on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481—265.6</w:t>
      </w:r>
      <w:r>
        <w:rPr>
          <w:rFonts w:ascii="Times New Roman" w:hAnsi="Times New Roman"/>
          <w:b/>
          <w:i w:val="false"/>
          <w:color w:val="000000"/>
          <w:sz w:val="22"/>
        </w:rPr>
        <w:t xml:space="preserve">(100C) </w:t>
      </w:r>
      <w:r>
        <w:rPr>
          <w:rFonts w:ascii="Times New Roman" w:hAnsi="Times New Roman"/>
          <w:b/>
          <w:i w:val="false"/>
          <w:color w:val="000000"/>
          <w:sz w:val="22"/>
        </w:rPr>
        <w:t xml:space="preserve">Complaints. </w:t>
      </w:r>
      <w:r>
        <w:rPr>
          <w:rFonts w:ascii="Times New Roman" w:hAnsi="Times New Roman"/>
          <w:b w:val="false"/>
          <w:i w:val="false"/>
          <w:color w:val="000000"/>
          <w:sz w:val="22"/>
        </w:rPr>
        <w:t xml:space="preserve">Complaints regarding the performance of any licensed contractor, failure of a licensed contractor to meet any of the requirements established in Iowa Code chapter </w:t>
      </w:r>
      <w:hyperlink r:id="rId27">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 xml:space="preserve"> or this chapter or any other provision of law, or operation as a fire extinguishing system contractor without licensure may be filed with the department. Complaints should be as specific as possible and clearly identify the contractor against whom the complaint is filed. Complaints should be submitted in writing to the department as indicated on the department’s website. A complaint may be submitted anonymously, but if the name and contact information of the complainant are provided, the complainant will be notified of the disposition of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481—265.7</w:t>
      </w:r>
      <w:r>
        <w:rPr>
          <w:rFonts w:ascii="Times New Roman" w:hAnsi="Times New Roman"/>
          <w:b/>
          <w:i w:val="false"/>
          <w:color w:val="000000"/>
          <w:sz w:val="22"/>
        </w:rPr>
        <w:t xml:space="preserve">(100C) </w:t>
      </w:r>
      <w:r>
        <w:rPr>
          <w:rFonts w:ascii="Times New Roman" w:hAnsi="Times New Roman"/>
          <w:b/>
          <w:i w:val="false"/>
          <w:color w:val="000000"/>
          <w:sz w:val="22"/>
        </w:rPr>
        <w:t xml:space="preserve">Denial, suspension, or revocation of licensure; civil penalties; and appeals. </w:t>
      </w:r>
      <w:r>
        <w:rPr>
          <w:rFonts w:ascii="Times New Roman" w:hAnsi="Times New Roman"/>
          <w:b w:val="false"/>
          <w:i w:val="false"/>
          <w:color w:val="000000"/>
          <w:sz w:val="22"/>
        </w:rPr>
        <w:t>The department may deny, suspend, or revoke the license of a contractor, or assess a civil penalty to the contractor, if any provision of these rules or any other provision of law related to operation as a fire extinguishing system contractor is violated.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265.7(1)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The department may deny an application for licensure for reasons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applicant makes a false statement on the application form or in any other submission of information required for license. “False statement” means providing false information or failing to include material information, such as a previous criminal conviction or action taken by another jurisdiction, when requested on the application form or otherwise in the 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applicant fails to meet all of the requirements for licensure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applicant is currently barred for cause from acting as a fire extinguishing system contractor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applicant has previously been barred for cause from operating in another jurisdiction as a fire extinguishing system contractor and if the basis of that action reflects upon the integrity of the applicant in operating as a fire extinguishing system contractor. If an applicant is found to have been previously barred for cause from operating as a fire extinguishing system contractor in another jurisdiction and is no longer barred from doing so, the department will evaluate the record of that action with regard to the likelihood that the applicant would operate with integrity as a licensed contractor. If an applicant is denied under this provision, the applicant will be notified of the specific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Conviction of a felony offense, if the offense directly relates to the profession or occupation of the licensee, in the courts of this state or another state, territory or country. “Conviction” as used in this subrule includes a conviction of an offense that if committed in this state would be a felony without regard to its designation elsewhere, and includes a finding or verdict of guilt made or returned in a criminal proceeding even if the adjudication of guilt is withheld or not entered. A certified copy of the final order or judgment of conviction or plea of guilty in this state or in another state constitutes conclusive evidence of the conviction. If an applicant is denied under this provision, the applicant will be notified of the specific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licensee’s profession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Willful or repeated violations of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265.7(2)</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 xml:space="preserve">A suspension of a license may be imposed by the department for any violation of these rules or Iowa Code chapter </w:t>
      </w:r>
      <w:hyperlink r:id="rId28">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 xml:space="preserve"> or for a failure to meet any legal requirement to operate as a fire extinguishing system contractor in this state. Failure to provide any notice to the department as provided in these rules will be grounds for suspension. An order of suspension will specify the length of the suspension and will specify that correction of all conditions that were a basis for the suspension is a condition of reinstatement of the license even after the period of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265.7(3)</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revocation is a termination of a license. A license may be revoked by the department for repeated violations or for a violation that creates an imminent danger to the safety or health of individuals protected by a fire extinguishing system incorrectly installed by a licensed contractor or when information comes to the attention of the department which, if known to the department when the application was being considered, would have resulted in denial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application for licensure from a contractor whose license had previously been revoked will not be considered for a period of one year after the effective date of the revocation and, in any event, until every condition that was a basis for the revocation has been corrected. The department may specify in the revocation order a longer period than one year before a new application for licensure may be considered. When a new application for licensure from a contractor whose license was previously revoked is being considered, the applicant may be denied licensure based upon the same information that was the basis for revocation even after any such period established by the department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265.7(4)</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Disqualifications for criminal convictions limited. </w:t>
      </w:r>
      <w:r>
        <w:rPr>
          <w:rFonts w:ascii="Times New Roman" w:hAnsi="Times New Roman"/>
          <w:b w:val="false"/>
          <w:i w:val="false"/>
          <w:color w:val="000000"/>
          <w:sz w:val="22"/>
        </w:rPr>
        <w:t xml:space="preserve">A person’s conviction of a crime may be grounds for the denial, revocation, or suspension of a license in circumstances authorized by Iowa Code section </w:t>
      </w:r>
      <w:hyperlink r:id="rId29">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265.7(5)</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w:t>
      </w:r>
      <w:r>
        <w:rPr>
          <w:rFonts w:ascii="Times New Roman" w:hAnsi="Times New Roman"/>
          <w:b w:val="false"/>
          <w:i w:val="false"/>
          <w:color w:val="000000"/>
          <w:sz w:val="22"/>
        </w:rPr>
        <w:t>The department may impose a civil penalty of up to $500 per day during which a violation has occurred and for every day until the violation is corrected. A civil penalty may be imposed in lieu of or in addition to a suspension or may be imposed in addition to a revocation. A civil penalty will not be imposed in lieu of a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265.7(6)</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Any denial, suspension, or revocation of a license, or any civil penalty imposed upon a licensed contractor under this rule may be appealed by the contractor within 14 days of receipt of the notice by submitting a written request for a contested case appeal to the department. An appeal is subject to the provisions of </w:t>
      </w:r>
      <w:hyperlink r:id="rId30">
        <w:r>
          <w:rPr>
            <w:rStyle w:val="Hyperlink"/>
            <w:rFonts w:ascii="Times New Roman" w:hAnsi="Times New Roman"/>
            <w:b w:val="false"/>
            <w:i w:val="false"/>
            <w:color w:val="000000"/>
            <w:sz w:val="22"/>
          </w:rPr>
          <w:t>481—Chapters 9</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governing contested cases.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2">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5/5/06, Notice 3/29/06—published 5/24/06, effective 7/1/06]</w:t>
      </w:r>
    </w:p>
    <w:p>
      <w:pPr>
        <w:spacing w:before="0" w:after="0"/>
        <w:ind w:left="120"/>
        <w:jc w:val="center"/>
      </w:pPr>
      <w:r>
        <w:rPr>
          <w:rFonts w:ascii="Times New Roman" w:hAnsi="Times New Roman"/>
          <w:b w:val="false"/>
          <w:i w:val="false"/>
          <w:color w:val="000000"/>
          <w:sz w:val="21"/>
        </w:rPr>
        <w:t>[Filed emergency 9/20/06—published 10/11/06, effective 10/1/06]</w:t>
      </w:r>
    </w:p>
    <w:p>
      <w:pPr>
        <w:spacing w:before="0" w:after="0"/>
        <w:ind w:left="120"/>
        <w:jc w:val="center"/>
      </w:pPr>
      <w:r>
        <w:rPr>
          <w:rFonts w:ascii="Times New Roman" w:hAnsi="Times New Roman"/>
          <w:b w:val="false"/>
          <w:i w:val="false"/>
          <w:color w:val="000000"/>
          <w:sz w:val="21"/>
        </w:rPr>
        <w:t>[Filed emergency 3/22/07—published 4/11/07, effective 4/1/07]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6/17/09]</w:t>
      </w:r>
    </w:p>
    <w:p>
      <w:pPr>
        <w:spacing w:before="0" w:after="0"/>
        <w:ind w:left="120"/>
        <w:jc w:val="center"/>
      </w:pPr>
      <w:r>
        <w:rPr>
          <w:rFonts w:ascii="Times New Roman" w:hAnsi="Times New Roman"/>
          <w:b w:val="false"/>
          <w:i w:val="false"/>
          <w:color w:val="000000"/>
          <w:sz w:val="21"/>
        </w:rPr>
        <w:t>[Filed ARC 5396C</w:t>
      </w:r>
      <w:r>
        <w:rPr>
          <w:rFonts w:ascii="Times New Roman" w:hAnsi="Times New Roman"/>
          <w:b w:val="false"/>
          <w:i w:val="false"/>
          <w:color w:val="000000"/>
          <w:sz w:val="21"/>
        </w:rPr>
        <w:t xml:space="preserve"> (Notice ARC 5273C, IAB 11/18/20)</w:t>
      </w:r>
      <w:r>
        <w:rPr>
          <w:rFonts w:ascii="Times New Roman" w:hAnsi="Times New Roman"/>
          <w:b w:val="false"/>
          <w:i w:val="false"/>
          <w:color w:val="000000"/>
          <w:sz w:val="21"/>
        </w:rPr>
        <w:t>, IAB 1/13/21, effective 2/17/21]</w:t>
      </w:r>
    </w:p>
    <w:p>
      <w:pPr>
        <w:spacing w:before="0" w:after="0"/>
        <w:ind w:left="120"/>
        <w:jc w:val="center"/>
      </w:pPr>
      <w:r>
        <w:rPr>
          <w:rFonts w:ascii="Times New Roman" w:hAnsi="Times New Roman"/>
          <w:b w:val="false"/>
          <w:i w:val="false"/>
          <w:color w:val="000000"/>
          <w:sz w:val="21"/>
        </w:rPr>
        <w:t>[Filed ARC 7873C</w:t>
      </w:r>
      <w:r>
        <w:rPr>
          <w:rFonts w:ascii="Times New Roman" w:hAnsi="Times New Roman"/>
          <w:b w:val="false"/>
          <w:i w:val="false"/>
          <w:color w:val="000000"/>
          <w:sz w:val="21"/>
        </w:rPr>
        <w:t xml:space="preserve"> (Notice ARC 7334C,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11/26/25]</w:t>
      </w:r>
    </w:p>
    <w:sectPr>
      <w:footerReference r:id="rId3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0C.pdf" Type="http://schemas.openxmlformats.org/officeDocument/2006/relationships/hyperlink" Id="rId5"/>
    <Relationship TargetMode="External" Target="https://www.legis.iowa.gov/docs/ico/chapter/100C.1.pdf" Type="http://schemas.openxmlformats.org/officeDocument/2006/relationships/hyperlink" Id="rId6"/>
    <Relationship TargetMode="External" Target="https://www.legis.iowa.gov/docs/ico/chapter/100C.1.pdf" Type="http://schemas.openxmlformats.org/officeDocument/2006/relationships/hyperlink" Id="rId7"/>
    <Relationship TargetMode="External" Target="https://www.legis.iowa.gov/docs/ico/chapter/100C.1.pdf" Type="http://schemas.openxmlformats.org/officeDocument/2006/relationships/hyperlink" Id="rId8"/>
    <Relationship TargetMode="External" Target="https://www.legis.iowa.gov/docs/ico/chapter/100C.1.pdf" Type="http://schemas.openxmlformats.org/officeDocument/2006/relationships/hyperlink" Id="rId9"/>
    <Relationship TargetMode="External" Target="https://www.legis.iowa.gov/docs/ico/chapter/100C.1.pdf" Type="http://schemas.openxmlformats.org/officeDocument/2006/relationships/hyperlink" Id="rId10"/>
    <Relationship TargetMode="External" Target="https://www.legis.iowa.gov/docs/ico/chapter/100C.1.pdf" Type="http://schemas.openxmlformats.org/officeDocument/2006/relationships/hyperlink" Id="rId11"/>
    <Relationship TargetMode="External" Target="https://www.legis.iowa.gov/docs/ico/chapter/100C.1.pdf" Type="http://schemas.openxmlformats.org/officeDocument/2006/relationships/hyperlink" Id="rId12"/>
    <Relationship TargetMode="External" Target="https://www.legis.iowa.gov/docs/ico/chapter/100C.1.pdf" Type="http://schemas.openxmlformats.org/officeDocument/2006/relationships/hyperlink" Id="rId13"/>
    <Relationship TargetMode="External" Target="https://www.legis.iowa.gov/docs/ico/chapter/100C.1.pdf" Type="http://schemas.openxmlformats.org/officeDocument/2006/relationships/hyperlink" Id="rId14"/>
    <Relationship TargetMode="External" Target="https://www.legis.iowa.gov/docs/ico/chapter/100C.1.pdf" Type="http://schemas.openxmlformats.org/officeDocument/2006/relationships/hyperlink" Id="rId15"/>
    <Relationship TargetMode="External" Target="https://www.legis.iowa.gov/docs/iac/rule/481.265.1.pdf" Type="http://schemas.openxmlformats.org/officeDocument/2006/relationships/hyperlink" Id="rId16"/>
    <Relationship TargetMode="External" Target="https://www.legis.iowa.gov/docs/iac/rule/481.265.3.pdf" Type="http://schemas.openxmlformats.org/officeDocument/2006/relationships/hyperlink" Id="rId17"/>
    <Relationship TargetMode="External" Target="https://www.legis.iowa.gov/docs/ico/chapter/272C.12.pdf" Type="http://schemas.openxmlformats.org/officeDocument/2006/relationships/hyperlink" Id="rId18"/>
    <Relationship TargetMode="External" Target="https://www.legis.iowa.gov/docs/iac/rule/481.265.3.pdf" Type="http://schemas.openxmlformats.org/officeDocument/2006/relationships/hyperlink" Id="rId19"/>
    <Relationship TargetMode="External" Target="https://www.legis.iowa.gov/docs/ico/chapter/91C.pdf" Type="http://schemas.openxmlformats.org/officeDocument/2006/relationships/hyperlink" Id="rId20"/>
    <Relationship TargetMode="External" Target="https://www.legis.iowa.gov/docs/iac/chapter/481.465.pdf" Type="http://schemas.openxmlformats.org/officeDocument/2006/relationships/hyperlink" Id="rId21"/>
    <Relationship TargetMode="External" Target="https://www.legis.iowa.gov/docs/ico/chapter/91C.pdf" Type="http://schemas.openxmlformats.org/officeDocument/2006/relationships/hyperlink" Id="rId22"/>
    <Relationship TargetMode="External" Target="https://www.legis.iowa.gov/docs/ico/chapter/29A.1.pdf" Type="http://schemas.openxmlformats.org/officeDocument/2006/relationships/hyperlink" Id="rId23"/>
    <Relationship TargetMode="External" Target="https://www.legis.iowa.gov/docs/iac/chapter/481.7.pdf" Type="http://schemas.openxmlformats.org/officeDocument/2006/relationships/hyperlink" Id="rId24"/>
    <Relationship TargetMode="External" Target="https://www.legis.iowa.gov/docs/iac/rule/481.265.3.pdf" Type="http://schemas.openxmlformats.org/officeDocument/2006/relationships/hyperlink" Id="rId25"/>
    <Relationship TargetMode="External" Target="https://www.legis.iowa.gov/docs/iac/rule/481.265.1.pdf" Type="http://schemas.openxmlformats.org/officeDocument/2006/relationships/hyperlink" Id="rId26"/>
    <Relationship TargetMode="External" Target="https://www.legis.iowa.gov/docs/ico/chapter/100C.pdf" Type="http://schemas.openxmlformats.org/officeDocument/2006/relationships/hyperlink" Id="rId27"/>
    <Relationship TargetMode="External" Target="https://www.legis.iowa.gov/docs/ico/chapter/100C.pdf" Type="http://schemas.openxmlformats.org/officeDocument/2006/relationships/hyperlink" Id="rId28"/>
    <Relationship TargetMode="External" Target="https://www.legis.iowa.gov/docs/ico/chapter/272C.15.pdf" Type="http://schemas.openxmlformats.org/officeDocument/2006/relationships/hyperlink" Id="rId29"/>
    <Relationship TargetMode="External" Target="https://www.legis.iowa.gov/docs/iac/chapter/481.9.pdf" Type="http://schemas.openxmlformats.org/officeDocument/2006/relationships/hyperlink" Id="rId30"/>
    <Relationship TargetMode="External" Target="https://www.legis.iowa.gov/docs/iac/chapter/481.10.pdf" Type="http://schemas.openxmlformats.org/officeDocument/2006/relationships/hyperlink" Id="rId31"/>
    <Relationship TargetMode="External" Target="https://www.legis.iowa.gov/docs/ico/chapter/100C.pdf" Type="http://schemas.openxmlformats.org/officeDocument/2006/relationships/hyperlink" Id="rId32"/>
    <Relationship Target="footer.xml" Type="http://schemas.openxmlformats.org/officeDocument/2006/relationships/footer"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