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LANDSCAPE ARCHITECTURAL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3/9/88, see Landscape Architectural Examiners Board[540] Ch 1]</w:t>
      </w:r>
    </w:p>
    <w:p>
      <w:pPr>
        <w:spacing w:before="0" w:after="0"/>
        <w:ind w:left="120"/>
        <w:jc w:val="center"/>
      </w:pPr>
      <w:r>
        <w:rPr>
          <w:rFonts w:ascii="Times New Roman" w:hAnsi="Times New Roman"/>
          <w:b w:val="false"/>
          <w:i w:val="false"/>
          <w:color w:val="000000"/>
          <w:sz w:val="14"/>
        </w:rPr>
        <w:t>[Prior to 6/10/26, see Landscape Architectural Examining Board[193D]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“CLARB”</w:t>
      </w:r>
      <w:r>
        <w:rPr>
          <w:rFonts w:ascii="Times New Roman" w:hAnsi="Times New Roman"/>
          <w:b w:val="false"/>
          <w:i w:val="false"/>
          <w:color w:val="000000"/>
          <w:sz w:val="22"/>
        </w:rPr>
        <w:t> </w:t>
      </w:r>
      <w:r>
        <w:rPr>
          <w:rFonts w:ascii="Times New Roman" w:hAnsi="Times New Roman"/>
          <w:b w:val="false"/>
          <w:i w:val="false"/>
          <w:color w:val="000000"/>
          <w:sz w:val="22"/>
        </w:rPr>
        <w:t>means the Council of Landscape Architectural Registration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“Evidence”</w:t>
      </w:r>
      <w:r>
        <w:rPr>
          <w:rFonts w:ascii="Times New Roman" w:hAnsi="Times New Roman"/>
          <w:b w:val="false"/>
          <w:i w:val="false"/>
          <w:color w:val="000000"/>
          <w:sz w:val="22"/>
        </w:rPr>
        <w:t> </w:t>
      </w:r>
      <w:r>
        <w:rPr>
          <w:rFonts w:ascii="Times New Roman" w:hAnsi="Times New Roman"/>
          <w:b w:val="false"/>
          <w:i w:val="false"/>
          <w:color w:val="000000"/>
          <w:sz w:val="22"/>
        </w:rPr>
        <w:t>means any document or record of any kind of drawings, specifications, photographs, diplomas, licensee statements, published data and certified personal statements as may be required as a part of any action on the part of the board. Each item of evidence shall be clearly marked to ensure positive and certain identification. It is the responsibility of the applicant to satisfy the board as to the sufficiency of the record and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 landscape architect is not engaged in Iowa in any practice for which a certificate of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 landscape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not licensed and has a degree in landscape architecture and is employed under the direct supervision of a professional landscape architect. The initials “I.L.A.” should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“LARE”</w:t>
      </w:r>
      <w:r>
        <w:rPr>
          <w:rFonts w:ascii="Times New Roman" w:hAnsi="Times New Roman"/>
          <w:b w:val="false"/>
          <w:i w:val="false"/>
          <w:color w:val="000000"/>
          <w:sz w:val="22"/>
        </w:rPr>
        <w:t> </w:t>
      </w:r>
      <w:r>
        <w:rPr>
          <w:rFonts w:ascii="Times New Roman" w:hAnsi="Times New Roman"/>
          <w:b w:val="false"/>
          <w:i w:val="false"/>
          <w:color w:val="000000"/>
          <w:sz w:val="22"/>
        </w:rPr>
        <w:t>means the Landscape Architecture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landscape architecture”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performance of professional service or offering to render professional services to clients, including any one or any combination of the professional services defined in Iowa Code section </w:t>
      </w:r>
      <w:hyperlink r:id="rId5">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landscape architect”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obtains a license and engages in the practice of landscape architecture under the authority of Iowa Code chapter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For the purposes of these rules, a professional landscape architect may be referred to as a landscape architect and may use the initials “P.L.A.”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“Years of practical experience”</w:t>
      </w:r>
      <w:r>
        <w:rPr>
          <w:rFonts w:ascii="Times New Roman" w:hAnsi="Times New Roman"/>
          <w:b w:val="false"/>
          <w:i w:val="false"/>
          <w:color w:val="000000"/>
          <w:sz w:val="22"/>
        </w:rPr>
        <w:t> </w:t>
      </w:r>
      <w:r>
        <w:rPr>
          <w:rFonts w:ascii="Times New Roman" w:hAnsi="Times New Roman"/>
          <w:b w:val="false"/>
          <w:i w:val="false"/>
          <w:color w:val="000000"/>
          <w:sz w:val="22"/>
        </w:rPr>
        <w:t>means, for each year of practical experience the applicant has worked performing landscape architectural services, a minimum of 2,080 hours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481—1081.2</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The board consists of five licensed professional landscape architects and two members who are not licensed professional landscape architects and who represent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professional landscape architect board members. </w:t>
      </w:r>
      <w:r>
        <w:rPr>
          <w:rFonts w:ascii="Times New Roman" w:hAnsi="Times New Roman"/>
          <w:b w:val="false"/>
          <w:i w:val="false"/>
          <w:color w:val="000000"/>
          <w:sz w:val="22"/>
        </w:rPr>
        <w:t>Four of the five professional members will be actively engaged in the practice of landscape architecture or the teaching of landscape architecture in an accredited college or university and shall have been so engaged for five years preceding appointment, the last two of which shall have been in Iowa. One of the five professional members will be actively engaged in the practice of landscape architecture or the teaching of landscape architecture in an accredited college or university and may have been so engaged for fewer than five years preceding.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1081.2(2)</w:t>
      </w:r>
      <w:r>
        <w:rPr>
          <w:rFonts w:ascii="Times New Roman" w:hAnsi="Times New Roman"/>
          <w:b w:val="false"/>
          <w:i w:val="false"/>
          <w:color w:val="000000"/>
          <w:sz w:val="22"/>
        </w:rPr>
        <w:t> </w:t>
      </w:r>
      <w:r>
        <w:rPr>
          <w:rFonts w:ascii="Times New Roman" w:hAnsi="Times New Roman"/>
          <w:b w:val="false"/>
          <w:i/>
          <w:color w:val="000000"/>
          <w:sz w:val="22"/>
        </w:rPr>
        <w:t xml:space="preserve">Election of chairperson and vice chairperson. </w:t>
      </w:r>
      <w:r>
        <w:rPr>
          <w:rFonts w:ascii="Times New Roman" w:hAnsi="Times New Roman"/>
          <w:b w:val="false"/>
          <w:i w:val="false"/>
          <w:color w:val="000000"/>
          <w:sz w:val="22"/>
        </w:rPr>
        <w:t>The board elects annually from its members a chairperson and a vice chairperson. A quorum of the board will be four members, and all final motions and actions must receive a vote by a majority of the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1081.2(3)</w:t>
      </w:r>
      <w:r>
        <w:rPr>
          <w:rFonts w:ascii="Times New Roman" w:hAnsi="Times New Roman"/>
          <w:b w:val="false"/>
          <w:i w:val="false"/>
          <w:color w:val="000000"/>
          <w:sz w:val="22"/>
        </w:rPr>
        <w:t> </w:t>
      </w:r>
      <w:r>
        <w:rPr>
          <w:rFonts w:ascii="Times New Roman" w:hAnsi="Times New Roman"/>
          <w:b w:val="false"/>
          <w:i/>
          <w:color w:val="000000"/>
          <w:sz w:val="22"/>
        </w:rPr>
        <w:t xml:space="preserve">Duties of board. </w:t>
      </w:r>
      <w:r>
        <w:rPr>
          <w:rFonts w:ascii="Times New Roman" w:hAnsi="Times New Roman"/>
          <w:b w:val="false"/>
          <w:i w:val="false"/>
          <w:color w:val="000000"/>
          <w:sz w:val="22"/>
        </w:rPr>
        <w:t xml:space="preserve">The board enforces the provisions of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makes rules for the examination of applications for licensure. The board keeps records of its proceedings. The board adopts an official seal that is affixed to all certificates of licensure granted. The board makes other rules, not inconsistent with law, as necessary for the proper performance of its duties. The board maintains a roster showing the name, place of business, residence, and date and number of the certificate of licensure of every professional landscape architect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1081.2(4)</w:t>
      </w:r>
      <w:r>
        <w:rPr>
          <w:rFonts w:ascii="Times New Roman" w:hAnsi="Times New Roman"/>
          <w:b w:val="false"/>
          <w:i w:val="false"/>
          <w:color w:val="000000"/>
          <w:sz w:val="22"/>
        </w:rPr>
        <w:t> </w:t>
      </w:r>
      <w:r>
        <w:rPr>
          <w:rFonts w:ascii="Times New Roman" w:hAnsi="Times New Roman"/>
          <w:b w:val="false"/>
          <w:i/>
          <w:color w:val="000000"/>
          <w:sz w:val="22"/>
        </w:rPr>
        <w:t xml:space="preserve">Duties of chairperson. </w:t>
      </w:r>
      <w:r>
        <w:rPr>
          <w:rFonts w:ascii="Times New Roman" w:hAnsi="Times New Roman"/>
          <w:b w:val="false"/>
          <w:i w:val="false"/>
          <w:color w:val="000000"/>
          <w:sz w:val="22"/>
        </w:rPr>
        <w:t>The chairperson will, when present, preside at meetings, appoint committees, and perform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1081.2(5)</w:t>
      </w:r>
      <w:r>
        <w:rPr>
          <w:rFonts w:ascii="Times New Roman" w:hAnsi="Times New Roman"/>
          <w:b w:val="false"/>
          <w:i w:val="false"/>
          <w:color w:val="000000"/>
          <w:sz w:val="22"/>
        </w:rPr>
        <w:t> </w:t>
      </w:r>
      <w:r>
        <w:rPr>
          <w:rFonts w:ascii="Times New Roman" w:hAnsi="Times New Roman"/>
          <w:b w:val="false"/>
          <w:i/>
          <w:color w:val="000000"/>
          <w:sz w:val="22"/>
        </w:rPr>
        <w:t xml:space="preserve">Duties of vice chairperson. </w:t>
      </w:r>
      <w:r>
        <w:rPr>
          <w:rFonts w:ascii="Times New Roman" w:hAnsi="Times New Roman"/>
          <w:b w:val="false"/>
          <w:i w:val="false"/>
          <w:color w:val="000000"/>
          <w:sz w:val="22"/>
        </w:rPr>
        <w:t>The vice chairperson will,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481—1081.3</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8">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481—1081.4</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The board executive will prepare an agenda listing all matters to be discussed at meetings. A copy of this agenda will be available to each member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481—1081.5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w:t>
      </w:r>
      <w:r>
        <w:rPr>
          <w:rFonts w:ascii="Times New Roman" w:hAnsi="Times New Roman"/>
          <w:b w:val="false"/>
          <w:i w:val="false"/>
          <w:color w:val="000000"/>
          <w:sz w:val="22"/>
        </w:rPr>
        <w:t xml:space="preserve">In addition to the provisions of </w:t>
      </w:r>
      <w:hyperlink r:id="rId9">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the following will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10">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will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will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1081.5(4)</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544B.3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544B.5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9154C</w:t>
      </w:r>
      <w:r>
        <w:rPr>
          <w:rFonts w:ascii="Times New Roman" w:hAnsi="Times New Roman"/>
          <w:b w:val="false"/>
          <w:i w:val="false"/>
          <w:color w:val="000000"/>
          <w:sz w:val="21"/>
        </w:rPr>
        <w:t xml:space="preserve"> (Notice ARC 8764C,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B.1.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ac/chapter/481.6.pdf" Type="http://schemas.openxmlformats.org/officeDocument/2006/relationships/hyperlink" Id="rId9"/>
    <Relationship TargetMode="External" Target="https://www.legis.iowa.gov/docs/iac/chapter/481.6.pdf" Type="http://schemas.openxmlformats.org/officeDocument/2006/relationships/hyperlink" Id="rId10"/>
    <Relationship TargetMode="External" Target="https://www.legis.iowa.gov/docs/ico/chapter/544B.3.pdf" Type="http://schemas.openxmlformats.org/officeDocument/2006/relationships/hyperlink" Id="rId11"/>
    <Relationship TargetMode="External" Target="https://www.legis.iowa.gov/docs/ico/chapter/544B.5.pdf" Type="http://schemas.openxmlformats.org/officeDocument/2006/relationships/hyperlink" Id="rId12"/>
    <Relationship TargetMode="External" Target="https://www.legis.iowa.gov/docs/ico/chapter/544B.15.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