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166</w:t>
      </w:r>
    </w:p>
    <w:p>
      <w:pPr>
        <w:spacing w:before="0" w:after="0"/>
        <w:ind w:left="120"/>
        <w:jc w:val="center"/>
      </w:pPr>
      <w:r>
        <w:rPr>
          <w:rFonts w:ascii="Times New Roman" w:hAnsi="Times New Roman"/>
          <w:b w:val="false"/>
          <w:i w:val="false"/>
          <w:color w:val="000000"/>
          <w:sz w:val="21"/>
        </w:rPr>
        <w:t>QUALITY IMPROVEMENT INITIATIVE GRANTS</w:t>
      </w:r>
    </w:p>
    <w:p>
      <w:pPr>
        <w:spacing w:before="0" w:after="0"/>
        <w:ind w:left="120"/>
        <w:jc w:val="center"/>
      </w:pPr>
      <w:r>
        <w:rPr>
          <w:rFonts w:ascii="Times New Roman" w:hAnsi="Times New Roman"/>
          <w:b w:val="false"/>
          <w:i w:val="false"/>
          <w:color w:val="000000"/>
          <w:sz w:val="22"/>
        </w:rPr>
        <w:t>PREAMBLE</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These rules define and structure grants to be funded from collected civil money penalties. The grant funds are available for activities that protect or improve the quality of care and quality of life for residents of a nursing facility.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3717C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441—166.1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entities” </w:t>
      </w:r>
      <w:r>
        <w:rPr>
          <w:rFonts w:ascii="Times New Roman" w:hAnsi="Times New Roman"/>
          <w:b w:val="false"/>
          <w:i w:val="false"/>
          <w:color w:val="000000"/>
          <w:sz w:val="22"/>
        </w:rPr>
        <w:t>means nursing facilities, state agencies, nursing facility advocacy groups, resident and family councils, and other nursing facility stakeholder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w:t>
      </w:r>
      <w:r>
        <w:rPr>
          <w:rFonts w:ascii="Times New Roman" w:hAnsi="Times New Roman"/>
          <w:b w:val="false"/>
          <w:i w:val="false"/>
          <w:color w:val="000000"/>
          <w:sz w:val="22"/>
        </w:rPr>
        <w:t>means a Medicaid-enrolled facility that is defined in rule 441—81.1(249A) as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improvement initiative”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“initiative” </w:t>
      </w:r>
      <w:r>
        <w:rPr>
          <w:rFonts w:ascii="Times New Roman" w:hAnsi="Times New Roman"/>
          <w:b w:val="false"/>
          <w:i w:val="false"/>
          <w:color w:val="000000"/>
          <w:sz w:val="22"/>
        </w:rPr>
        <w:t>means a project or training in accordance with provisions of 42 CFR 488.433 as amended to December 4, 2017, that directly or indirectly supports and benefits the quality of care and quality of life of nursing facility residents.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3717C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441—166.2</w:t>
      </w:r>
      <w:r>
        <w:rPr>
          <w:rFonts w:ascii="Times New Roman" w:hAnsi="Times New Roman"/>
          <w:b/>
          <w:i w:val="false"/>
          <w:color w:val="000000"/>
          <w:sz w:val="22"/>
        </w:rPr>
        <w:t xml:space="preserve">(249A) </w:t>
      </w:r>
      <w:r>
        <w:rPr>
          <w:rFonts w:ascii="Times New Roman" w:hAnsi="Times New Roman"/>
          <w:b/>
          <w:i w:val="false"/>
          <w:color w:val="000000"/>
          <w:sz w:val="22"/>
        </w:rPr>
        <w:t xml:space="preserve">Availability of grants. </w:t>
      </w:r>
      <w:r>
        <w:rPr>
          <w:rFonts w:ascii="Times New Roman" w:hAnsi="Times New Roman"/>
          <w:b w:val="false"/>
          <w:i w:val="false"/>
          <w:color w:val="000000"/>
          <w:sz w:val="22"/>
        </w:rPr>
        <w:t xml:space="preserve">The department shall set aside an annual amount from the civil money penalty fund established pursuant to Iowa Code section </w:t>
      </w:r>
      <w:hyperlink r:id="rId5">
        <w:r>
          <w:rPr>
            <w:rStyle w:val="Hyperlink"/>
            <w:rFonts w:ascii="Times New Roman" w:hAnsi="Times New Roman"/>
            <w:b w:val="false"/>
            <w:i w:val="false"/>
            <w:color w:val="000000"/>
            <w:sz w:val="22"/>
          </w:rPr>
          <w:t>249A.57</w:t>
        </w:r>
      </w:hyperlink>
      <w:r>
        <w:rPr>
          <w:rFonts w:ascii="Times New Roman" w:hAnsi="Times New Roman"/>
          <w:b w:val="false"/>
          <w:i w:val="false"/>
          <w:color w:val="000000"/>
          <w:sz w:val="22"/>
        </w:rPr>
        <w:t xml:space="preserve"> to be awarded in the form of emergency reserve fund grants to eligible entities for approved support and protection of residents of a facility that closes (voluntarily or involuntarily). At no time shall the grant set-aside cause the civil money penalty emergency reserve fund to drop below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166.2(1)</w:t>
      </w:r>
      <w:r>
        <w:rPr>
          <w:rFonts w:ascii="Times New Roman" w:hAnsi="Times New Roman"/>
          <w:b w:val="false"/>
          <w:i w:val="false"/>
          <w:color w:val="000000"/>
          <w:sz w:val="22"/>
        </w:rPr>
        <w:t> </w:t>
      </w:r>
      <w:r>
        <w:rPr>
          <w:rFonts w:ascii="Times New Roman" w:hAnsi="Times New Roman"/>
          <w:b w:val="false"/>
          <w:i w:val="false"/>
          <w:color w:val="000000"/>
          <w:sz w:val="22"/>
        </w:rPr>
        <w:t>In any calendar year in which sufficient funds are available in the civil money penalty fund to support quality improvement initiative grants, the department may issue a notice for applications for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166.2(2)</w:t>
      </w:r>
      <w:r>
        <w:rPr>
          <w:rFonts w:ascii="Times New Roman" w:hAnsi="Times New Roman"/>
          <w:b w:val="false"/>
          <w:i w:val="false"/>
          <w:color w:val="000000"/>
          <w:sz w:val="22"/>
        </w:rPr>
        <w:t> </w:t>
      </w:r>
      <w:r>
        <w:rPr>
          <w:rFonts w:ascii="Times New Roman" w:hAnsi="Times New Roman"/>
          <w:b w:val="false"/>
          <w:i w:val="false"/>
          <w:color w:val="000000"/>
          <w:sz w:val="22"/>
        </w:rPr>
        <w:t>There is no entitlement to any funds available for grants awarded pursuant to this chapter. The department may award grants to the extent funds are available and, within its discretion, to the extent that applications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plan as described in rule </w:t>
      </w:r>
      <w:hyperlink r:id="rId6">
        <w:r>
          <w:rPr>
            <w:rStyle w:val="Hyperlink"/>
            <w:rFonts w:ascii="Times New Roman" w:hAnsi="Times New Roman"/>
            <w:b w:val="false"/>
            <w:i w:val="false"/>
            <w:color w:val="000000"/>
            <w:sz w:val="22"/>
          </w:rPr>
          <w:t>441—166.4</w:t>
        </w:r>
      </w:hyperlink>
      <w:r>
        <w:rPr>
          <w:rFonts w:ascii="Times New Roman" w:hAnsi="Times New Roman"/>
          <w:b w:val="false"/>
          <w:i w:val="false"/>
          <w:color w:val="000000"/>
          <w:sz w:val="22"/>
        </w:rPr>
        <w:t>(249A) and allocation of funds shall be in compliance with state and federal law and approved by the Centers for Medicare and Medicaid Services (CMS).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166.2(4)</w:t>
      </w:r>
      <w:r>
        <w:rPr>
          <w:rFonts w:ascii="Times New Roman" w:hAnsi="Times New Roman"/>
          <w:b w:val="false"/>
          <w:i w:val="false"/>
          <w:color w:val="000000"/>
          <w:sz w:val="22"/>
        </w:rPr>
        <w:t> </w:t>
      </w:r>
      <w:r>
        <w:rPr>
          <w:rFonts w:ascii="Times New Roman" w:hAnsi="Times New Roman"/>
          <w:b w:val="false"/>
          <w:i w:val="false"/>
          <w:color w:val="000000"/>
          <w:sz w:val="22"/>
        </w:rPr>
        <w:t>Emergency reserve fund grants are available for purposes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Time-limited expenses incurred in the process of relocating residents when a facility closes (voluntarily or involuntarily) or downsizes pursuant to an agreement with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and maintenance of temporary management or receivership capability.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3717C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6719C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441—166.3</w:t>
      </w:r>
      <w:r>
        <w:rPr>
          <w:rFonts w:ascii="Times New Roman" w:hAnsi="Times New Roman"/>
          <w:b/>
          <w:i w:val="false"/>
          <w:color w:val="000000"/>
          <w:sz w:val="22"/>
        </w:rPr>
        <w:t xml:space="preserve">(249A) </w:t>
      </w:r>
      <w:r>
        <w:rPr>
          <w:rFonts w:ascii="Times New Roman" w:hAnsi="Times New Roman"/>
          <w:b/>
          <w:i w:val="false"/>
          <w:color w:val="000000"/>
          <w:sz w:val="22"/>
        </w:rPr>
        <w:t xml:space="preserve">Grant eligibility. </w:t>
      </w:r>
      <w:r>
        <w:rPr>
          <w:rFonts w:ascii="Times New Roman" w:hAnsi="Times New Roman"/>
          <w:b w:val="false"/>
          <w:i w:val="false"/>
          <w:color w:val="000000"/>
          <w:sz w:val="22"/>
        </w:rPr>
        <w:t>Grants are available for quality improvement initiatives that are outside the scope of normal operations for the nursing facility or other applicants. Grants cannot be used as replacement funding for goods or services that the applicant already offers.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166.3(1)</w:t>
      </w:r>
      <w:r>
        <w:rPr>
          <w:rFonts w:ascii="Times New Roman" w:hAnsi="Times New Roman"/>
          <w:b w:val="false"/>
          <w:i w:val="false"/>
          <w:color w:val="000000"/>
          <w:sz w:val="22"/>
        </w:rPr>
        <w:t> </w:t>
      </w:r>
      <w:r>
        <w:rPr>
          <w:rFonts w:ascii="Times New Roman" w:hAnsi="Times New Roman"/>
          <w:b w:val="false"/>
          <w:i w:val="false"/>
          <w:color w:val="000000"/>
          <w:sz w:val="22"/>
        </w:rPr>
        <w:t>Grants may be awarded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Short-term quality improvement initiatives (three years or less),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Situations eligible for emergency reserve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comply with CMS guidance on civil money penalty uses.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3717C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6719C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441—166.4</w:t>
      </w:r>
      <w:r>
        <w:rPr>
          <w:rFonts w:ascii="Times New Roman" w:hAnsi="Times New Roman"/>
          <w:b/>
          <w:i w:val="false"/>
          <w:color w:val="000000"/>
          <w:sz w:val="22"/>
        </w:rPr>
        <w:t xml:space="preserve">(249A) </w:t>
      </w:r>
      <w:r>
        <w:rPr>
          <w:rFonts w:ascii="Times New Roman" w:hAnsi="Times New Roman"/>
          <w:b/>
          <w:i w:val="false"/>
          <w:color w:val="000000"/>
          <w:sz w:val="22"/>
        </w:rPr>
        <w:t xml:space="preserve">Grant application process and selection of proposals. </w:t>
      </w:r>
      <w:r>
        <w:rPr>
          <w:rFonts w:ascii="Times New Roman" w:hAnsi="Times New Roman"/>
          <w:b w:val="false"/>
          <w:i w:val="false"/>
          <w:color w:val="000000"/>
          <w:sz w:val="22"/>
        </w:rPr>
        <w:t>The department will announce through a request for proposals the opening of an application period. The request will state the purpose for which grant funds may be sought. Applicants shall submit their grant proposals by the deadline specified in the announcement.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166.4(1)</w:t>
      </w:r>
      <w:r>
        <w:rPr>
          <w:rFonts w:ascii="Times New Roman" w:hAnsi="Times New Roman"/>
          <w:b w:val="false"/>
          <w:i w:val="false"/>
          <w:color w:val="000000"/>
          <w:sz w:val="22"/>
        </w:rPr>
        <w:t> </w:t>
      </w:r>
      <w:r>
        <w:rPr>
          <w:rFonts w:ascii="Times New Roman" w:hAnsi="Times New Roman"/>
          <w:b w:val="false"/>
          <w:i w:val="false"/>
          <w:color w:val="000000"/>
          <w:sz w:val="22"/>
        </w:rPr>
        <w:t>Evaluation of proposals. All proposals completed as directed and submitted within the time frames allowed will be evaluated by the grant review committee to determine which applicants’ project plans will be submitted for CMS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166.4(2)</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the project plan for each grant the department intends to award, along with any required documentation, to CMS to seek approval or denial of the proposed project. All activities and plans for utilizing civil money penalty funds must be approved in advance by CMS.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3717C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441—166.5</w:t>
      </w:r>
      <w:r>
        <w:rPr>
          <w:rFonts w:ascii="Times New Roman" w:hAnsi="Times New Roman"/>
          <w:b/>
          <w:i w:val="false"/>
          <w:color w:val="000000"/>
          <w:sz w:val="22"/>
        </w:rPr>
        <w:t xml:space="preserve">(249A) </w:t>
      </w:r>
      <w:r>
        <w:rPr>
          <w:rFonts w:ascii="Times New Roman" w:hAnsi="Times New Roman"/>
          <w:b/>
          <w:i w:val="false"/>
          <w:color w:val="000000"/>
          <w:sz w:val="22"/>
        </w:rPr>
        <w:t xml:space="preserve">Project contracts. </w:t>
      </w:r>
      <w:r>
        <w:rPr>
          <w:rFonts w:ascii="Times New Roman" w:hAnsi="Times New Roman"/>
          <w:b w:val="false"/>
          <w:i w:val="false"/>
          <w:color w:val="000000"/>
          <w:sz w:val="22"/>
        </w:rPr>
        <w:t>Grants for approved applicant project plans will be awarded through a contract entered into by the department and the applicant. The contract period shall not exceed the time frames allowed by state and federal laws. The department will reimburse expenditures pursuant to contract terms and the regular reimbursement procedures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3717C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249A.57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9402B</w:t>
      </w:r>
      <w:r>
        <w:rPr>
          <w:rFonts w:ascii="Times New Roman" w:hAnsi="Times New Roman"/>
          <w:b w:val="false"/>
          <w:i w:val="false"/>
          <w:color w:val="000000"/>
          <w:sz w:val="21"/>
        </w:rPr>
        <w:t xml:space="preserve"> (Notice ARC 9157B, IAB 10/20/10)</w:t>
      </w:r>
      <w:r>
        <w:rPr>
          <w:rFonts w:ascii="Times New Roman" w:hAnsi="Times New Roman"/>
          <w:b w:val="false"/>
          <w:i w:val="false"/>
          <w:color w:val="000000"/>
          <w:sz w:val="21"/>
        </w:rPr>
        <w:t>, IAB 3/9/11, effective 4/1/11]</w:t>
      </w:r>
    </w:p>
    <w:p>
      <w:pPr>
        <w:spacing w:before="0" w:after="0"/>
        <w:ind w:left="120"/>
        <w:jc w:val="center"/>
      </w:pPr>
      <w:r>
        <w:rPr>
          <w:rFonts w:ascii="Times New Roman" w:hAnsi="Times New Roman"/>
          <w:b w:val="false"/>
          <w:i w:val="false"/>
          <w:color w:val="000000"/>
          <w:sz w:val="21"/>
        </w:rPr>
        <w:t>[Filed ARC 3717C</w:t>
      </w:r>
      <w:r>
        <w:rPr>
          <w:rFonts w:ascii="Times New Roman" w:hAnsi="Times New Roman"/>
          <w:b w:val="false"/>
          <w:i w:val="false"/>
          <w:color w:val="000000"/>
          <w:sz w:val="21"/>
        </w:rPr>
        <w:t xml:space="preserve"> (Notice ARC 3573C, IAB 1/17/18)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6719C</w:t>
      </w:r>
      <w:r>
        <w:rPr>
          <w:rFonts w:ascii="Times New Roman" w:hAnsi="Times New Roman"/>
          <w:b w:val="false"/>
          <w:i w:val="false"/>
          <w:color w:val="000000"/>
          <w:sz w:val="21"/>
        </w:rPr>
        <w:t xml:space="preserve"> (Notice ARC 6511C, IAB 9/7/22)</w:t>
      </w:r>
      <w:r>
        <w:rPr>
          <w:rFonts w:ascii="Times New Roman" w:hAnsi="Times New Roman"/>
          <w:b w:val="false"/>
          <w:i w:val="false"/>
          <w:color w:val="000000"/>
          <w:sz w:val="21"/>
        </w:rPr>
        <w:t>, IAB 11/30/22,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A.57.pdf" Type="http://schemas.openxmlformats.org/officeDocument/2006/relationships/hyperlink" Id="rId5"/>
    <Relationship TargetMode="External" Target="https://www.legis.iowa.gov/docs/iac/rule/441.166.4.pdf" Type="http://schemas.openxmlformats.org/officeDocument/2006/relationships/hyperlink" Id="rId6"/>
    <Relationship TargetMode="External" Target="https://www.legis.iowa.gov/docs/ico/chapter/249A.5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