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782</w:t>
      </w:r>
    </w:p>
    <w:p>
      <w:pPr>
        <w:spacing w:before="0" w:after="0"/>
        <w:ind w:left="120"/>
        <w:jc w:val="center"/>
      </w:pPr>
      <w:r>
        <w:rPr>
          <w:rFonts w:ascii="Times New Roman" w:hAnsi="Times New Roman"/>
          <w:b w:val="false"/>
          <w:i w:val="false"/>
          <w:color w:val="000000"/>
          <w:sz w:val="21"/>
        </w:rPr>
        <w:t>CONTINUING EDUCATION FOR PHYSICIAN ASSISTANTS</w:t>
      </w:r>
    </w:p>
    <w:p>
      <w:pPr>
        <w:spacing w:before="0" w:after="0"/>
        <w:ind w:left="120"/>
        <w:jc w:val="center"/>
      </w:pPr>
      <w:r>
        <w:rPr>
          <w:rFonts w:ascii="Times New Roman" w:hAnsi="Times New Roman"/>
          <w:b w:val="false"/>
          <w:i w:val="false"/>
          <w:color w:val="000000"/>
          <w:sz w:val="14"/>
        </w:rPr>
        <w:t>[Prior to 9/18/24, see Professional Licensure Division[645] Ch 328]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7/3/29</w:t>
      </w:r>
    </w:p>
    <w:p>
      <w:pPr>
        <w:spacing w:before="0" w:after="0"/>
        <w:ind w:left="120"/>
        <w:jc w:val="both"/>
      </w:pPr>
      <w:r>
        <w:rPr>
          <w:rFonts w:ascii="Times New Roman" w:hAnsi="Times New Roman"/>
          <w:b/>
          <w:i w:val="false"/>
          <w:color w:val="000000"/>
          <w:sz w:val="22"/>
        </w:rPr>
        <w:t>481—782.1</w:t>
      </w:r>
      <w:r>
        <w:rPr>
          <w:rFonts w:ascii="Times New Roman" w:hAnsi="Times New Roman"/>
          <w:b/>
          <w:i w:val="false"/>
          <w:color w:val="000000"/>
          <w:sz w:val="22"/>
        </w:rPr>
        <w:t xml:space="preserve">(148C)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 of these rules, the following definitions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“Active license” </w:t>
      </w:r>
      <w:r>
        <w:rPr>
          <w:rFonts w:ascii="Times New Roman" w:hAnsi="Times New Roman"/>
          <w:b w:val="false"/>
          <w:i w:val="false"/>
          <w:color w:val="000000"/>
          <w:sz w:val="22"/>
        </w:rPr>
        <w:t>means a license that is current and has not expired.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“Approved program/activity” </w:t>
      </w:r>
      <w:r>
        <w:rPr>
          <w:rFonts w:ascii="Times New Roman" w:hAnsi="Times New Roman"/>
          <w:b w:val="false"/>
          <w:i w:val="false"/>
          <w:color w:val="000000"/>
          <w:sz w:val="22"/>
        </w:rPr>
        <w:t>means a continuing education program/activity meeting the standards set forth in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the selection of licensees for verification of satisfactory completion of continuing education requirements during a specified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means the board of physician assistants.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“Continuing education” </w:t>
      </w:r>
      <w:r>
        <w:rPr>
          <w:rFonts w:ascii="Times New Roman" w:hAnsi="Times New Roman"/>
          <w:b w:val="false"/>
          <w:i w:val="false"/>
          <w:color w:val="000000"/>
          <w:sz w:val="22"/>
        </w:rPr>
        <w:t>means planned, organized learning acts designed to maintain, improve, or expand a licensee’s knowledge and skills in order for the licensee to develop new knowledge and skills relevant to the enhancement of practice, education, or theory development to improve the safety and welfare of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“Hour of continuing education” </w:t>
      </w:r>
      <w:r>
        <w:rPr>
          <w:rFonts w:ascii="Times New Roman" w:hAnsi="Times New Roman"/>
          <w:b w:val="false"/>
          <w:i w:val="false"/>
          <w:color w:val="000000"/>
          <w:sz w:val="22"/>
        </w:rPr>
        <w:t>means at least 50 minutes spent by a licensee in actual attendance at and completion of an approved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“Inactive license” </w:t>
      </w:r>
      <w:r>
        <w:rPr>
          <w:rFonts w:ascii="Times New Roman" w:hAnsi="Times New Roman"/>
          <w:b w:val="false"/>
          <w:i w:val="false"/>
          <w:color w:val="000000"/>
          <w:sz w:val="22"/>
        </w:rPr>
        <w:t>means a license that has expired because it was not renewed by the end of the grace period. The category of “inactive license” may include licenses formerly known as lapsed, inactive, delinquent, closed, or retired.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means license to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“Licensee” </w:t>
      </w:r>
      <w:r>
        <w:rPr>
          <w:rFonts w:ascii="Times New Roman" w:hAnsi="Times New Roman"/>
          <w:b w:val="false"/>
          <w:i w:val="false"/>
          <w:color w:val="000000"/>
          <w:sz w:val="22"/>
        </w:rPr>
        <w:t>means any person licensed to practice as a physician assistant in the state of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481—782.2</w:t>
      </w:r>
      <w:r>
        <w:rPr>
          <w:rFonts w:ascii="Times New Roman" w:hAnsi="Times New Roman"/>
          <w:b/>
          <w:i w:val="false"/>
          <w:color w:val="000000"/>
          <w:sz w:val="22"/>
        </w:rPr>
        <w:t xml:space="preserve">(148C)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782.2(1)</w:t>
      </w:r>
      <w:r>
        <w:rPr>
          <w:rFonts w:ascii="Times New Roman" w:hAnsi="Times New Roman"/>
          <w:b w:val="false"/>
          <w:i w:val="false"/>
          <w:color w:val="000000"/>
          <w:sz w:val="22"/>
        </w:rPr>
        <w:t> </w:t>
      </w:r>
      <w:r>
        <w:rPr>
          <w:rFonts w:ascii="Times New Roman" w:hAnsi="Times New Roman"/>
          <w:b w:val="false"/>
          <w:i w:val="false"/>
          <w:color w:val="000000"/>
          <w:sz w:val="22"/>
        </w:rPr>
        <w:t>The biennial continuing education compliance period will extend for a two-year period beginning on October 1 of each year and ending on September 30 two years later. Each biennium, each licensee will be required to complete a minimum of 100 hours of continuing education approved by the board. Licensees who complete continuing education hours in excess of the requirements for renewal may apply up to 50 percent of the required hours to the following renewal period. Licensees may apply a maximum of 50 hours from the previous renewal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782.2(2)</w:t>
      </w:r>
      <w:r>
        <w:rPr>
          <w:rFonts w:ascii="Times New Roman" w:hAnsi="Times New Roman"/>
          <w:b w:val="false"/>
          <w:i w:val="false"/>
          <w:color w:val="000000"/>
          <w:sz w:val="22"/>
        </w:rPr>
        <w:t> </w:t>
      </w:r>
      <w:r>
        <w:rPr>
          <w:rFonts w:ascii="Times New Roman" w:hAnsi="Times New Roman"/>
          <w:b w:val="false"/>
          <w:i w:val="false"/>
          <w:color w:val="000000"/>
          <w:sz w:val="22"/>
        </w:rPr>
        <w:t>Requirements of new licensees. Those persons licensed for the first time will not be required to complete continuing education as a prerequisite for the first renewal of their licenses. The new licensee will be required to complete a minimum of 100 hours of continuing education per biennium for each subsequent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782.2(3)</w:t>
      </w:r>
      <w:r>
        <w:rPr>
          <w:rFonts w:ascii="Times New Roman" w:hAnsi="Times New Roman"/>
          <w:b w:val="false"/>
          <w:i w:val="false"/>
          <w:color w:val="000000"/>
          <w:sz w:val="22"/>
        </w:rPr>
        <w:t> </w:t>
      </w:r>
      <w:r>
        <w:rPr>
          <w:rFonts w:ascii="Times New Roman" w:hAnsi="Times New Roman"/>
          <w:b w:val="false"/>
          <w:i w:val="false"/>
          <w:color w:val="000000"/>
          <w:sz w:val="22"/>
        </w:rPr>
        <w:t>A licensee whose license was reactivated during the current renewal compliance period may use continuing education earned during the compliance period for the first renewal following reactivation.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 xml:space="preserve">; </w:t>
      </w:r>
      <w:r>
        <w:rPr>
          <w:rFonts w:ascii="Times New Roman" w:hAnsi="Times New Roman"/>
          <w:b/>
          <w:i w:val="false"/>
          <w:color w:val="000000"/>
          <w:sz w:val="16"/>
        </w:rPr>
        <w:t>ARC 9262C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481—782.3</w:t>
      </w:r>
      <w:r>
        <w:rPr>
          <w:rFonts w:ascii="Times New Roman" w:hAnsi="Times New Roman"/>
          <w:b/>
          <w:i w:val="false"/>
          <w:color w:val="000000"/>
          <w:sz w:val="22"/>
        </w:rPr>
        <w:t xml:space="preserve">(148C,272C) </w:t>
      </w:r>
      <w:r>
        <w:rPr>
          <w:rFonts w:ascii="Times New Roman" w:hAnsi="Times New Roman"/>
          <w:b/>
          <w:i w:val="false"/>
          <w:color w:val="000000"/>
          <w:sz w:val="22"/>
        </w:rPr>
        <w:t xml:space="preserve">Standards.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782.3(1)</w:t>
      </w:r>
      <w:r>
        <w:rPr>
          <w:rFonts w:ascii="Times New Roman" w:hAnsi="Times New Roman"/>
          <w:b w:val="false"/>
          <w:i w:val="false"/>
          <w:color w:val="000000"/>
          <w:sz w:val="22"/>
        </w:rPr>
        <w:t> </w:t>
      </w:r>
      <w:r>
        <w:rPr>
          <w:rFonts w:ascii="Times New Roman" w:hAnsi="Times New Roman"/>
          <w:b w:val="false"/>
          <w:i/>
          <w:color w:val="000000"/>
          <w:sz w:val="22"/>
        </w:rPr>
        <w:t xml:space="preserve">General criteria. </w:t>
      </w:r>
      <w:r>
        <w:rPr>
          <w:rFonts w:ascii="Times New Roman" w:hAnsi="Times New Roman"/>
          <w:b w:val="false"/>
          <w:i w:val="false"/>
          <w:color w:val="000000"/>
          <w:sz w:val="22"/>
        </w:rPr>
        <w:t>A continuing education activity is appropriate for continuing education credit if the continuing education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Constitutes an organized program of learning that contributes directly to the professional competency of the licensee;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Pertains to subject matters that integrally relate to the practice of the profession;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conducted by individuals who have specialized education, training and experience by reason of which said individuals should be considered qualified concerning the subject matter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Fulfills stated program goals, objectives, or both;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Provides an individual certificate of completion or evidence of successful completion of the course provided by the course sponsor. This documentation must contain the course title, date(s), contact hours, sponsor and licensee’s name.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782.3(2)</w:t>
      </w:r>
      <w:r>
        <w:rPr>
          <w:rFonts w:ascii="Times New Roman" w:hAnsi="Times New Roman"/>
          <w:b w:val="false"/>
          <w:i w:val="false"/>
          <w:color w:val="000000"/>
          <w:sz w:val="22"/>
        </w:rPr>
        <w:t> </w:t>
      </w:r>
      <w:r>
        <w:rPr>
          <w:rFonts w:ascii="Times New Roman" w:hAnsi="Times New Roman"/>
          <w:b w:val="false"/>
          <w:i/>
          <w:color w:val="000000"/>
          <w:sz w:val="22"/>
        </w:rPr>
        <w:t xml:space="preserve">Specific criteria. </w:t>
      </w:r>
      <w:r>
        <w:rPr>
          <w:rFonts w:ascii="Times New Roman" w:hAnsi="Times New Roman"/>
          <w:b w:val="false"/>
          <w:i w:val="false"/>
          <w:color w:val="000000"/>
          <w:sz w:val="22"/>
        </w:rPr>
        <w:t>Continuing education requirements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 will complete a minimum of 50 hours of credit designated as Category I by the American Academy of Physician Assistants, the American Medical Association, the American Osteopathic Association Council on Continuing Medical Education, the American Academy of Family Physicians or other organizations accredited by the Accreditation Council for Continuing Medical Education (ACCME).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the remaining 50 hours of required continuing medical education (CME), Category I or Category II credit, as accepted by the National Commission on Certification of Physician Assistants (NCCPA), will satisfy the CME requirements. In case of audit, licensees will provide evidence of NCCPA certification during the time period being audited or an activity log for all Category II credits for which a certificate of completion is not available. The activity log will list for each activity the date and type of activity and number of hours claimed per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Licensees who maintain certification by the NCCPA may show proof of meeting the board’s CME requirements by providing proof of current certification by the NCCPA for the time period being reviewed or audited.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licensee who has prescribed opioids to a patient during the renewal cycle will complete a minimum of two hours of continuing education regarding the guidelines for prescribing opioids for chronic pain, as issued by the Centers for Disease Control and Prevention of the United States Department of Health and Human Services, including recommendations on limitations on dosages and the length of prescriptions, risk factors for abuse, and nonopioid and nonpharmacologic therapy options, as a condition of license renewal. These hours may count toward the 100 hours of continuing education required for license renewal. The licensee will maintain documentation of these hours, which may be subject to audit.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8039C</w:t>
      </w:r>
      <w:r>
        <w:rPr>
          <w:rFonts w:ascii="Times New Roman" w:hAnsi="Times New Roman"/>
          <w:b w:val="false"/>
          <w:i w:val="false"/>
          <w:color w:val="000000"/>
          <w:sz w:val="16"/>
        </w:rPr>
        <w:t>, IAB 5/29/24, effective 7/3/24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5">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 xml:space="preserve"> and chapter </w:t>
      </w:r>
      <w:hyperlink r:id="rId6">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1/19/01, Notice 11/15/00—published 2/7/01, effective 3/14/01]</w:t>
      </w:r>
    </w:p>
    <w:p>
      <w:pPr>
        <w:spacing w:before="0" w:after="0"/>
        <w:ind w:left="120"/>
        <w:jc w:val="center"/>
      </w:pPr>
      <w:r>
        <w:rPr>
          <w:rFonts w:ascii="Times New Roman" w:hAnsi="Times New Roman"/>
          <w:b w:val="false"/>
          <w:i w:val="false"/>
          <w:color w:val="000000"/>
          <w:sz w:val="21"/>
        </w:rPr>
        <w:t>[Filed 7/19/02, Notice 4/3/02—published 8/7/02, effective 9/11/02]</w:t>
      </w:r>
    </w:p>
    <w:p>
      <w:pPr>
        <w:spacing w:before="0" w:after="0"/>
        <w:ind w:left="120"/>
        <w:jc w:val="center"/>
      </w:pPr>
      <w:r>
        <w:rPr>
          <w:rFonts w:ascii="Times New Roman" w:hAnsi="Times New Roman"/>
          <w:b w:val="false"/>
          <w:i w:val="false"/>
          <w:color w:val="000000"/>
          <w:sz w:val="21"/>
        </w:rPr>
        <w:t>[Filed emergency 7/18/03—published 8/6/03, effective 7/18/03]</w:t>
      </w:r>
    </w:p>
    <w:p>
      <w:pPr>
        <w:spacing w:before="0" w:after="0"/>
        <w:ind w:left="120"/>
        <w:jc w:val="center"/>
      </w:pPr>
      <w:r>
        <w:rPr>
          <w:rFonts w:ascii="Times New Roman" w:hAnsi="Times New Roman"/>
          <w:b w:val="false"/>
          <w:i w:val="false"/>
          <w:color w:val="000000"/>
          <w:sz w:val="21"/>
        </w:rPr>
        <w:t>[Filed 7/21/05, Notice 5/11/05—published 8/17/05, effective 9/21/05]</w:t>
      </w:r>
    </w:p>
    <w:p>
      <w:pPr>
        <w:spacing w:before="0" w:after="0"/>
        <w:ind w:left="120"/>
        <w:jc w:val="center"/>
      </w:pPr>
      <w:r>
        <w:rPr>
          <w:rFonts w:ascii="Times New Roman" w:hAnsi="Times New Roman"/>
          <w:b w:val="false"/>
          <w:i w:val="false"/>
          <w:color w:val="000000"/>
          <w:sz w:val="21"/>
        </w:rPr>
        <w:t>[Filed 1/20/06, Notice 11/9/05—published 2/15/06, effective 3/22/06]</w:t>
      </w:r>
    </w:p>
    <w:p>
      <w:pPr>
        <w:spacing w:before="0" w:after="0"/>
        <w:ind w:left="120"/>
        <w:jc w:val="center"/>
      </w:pPr>
      <w:r>
        <w:rPr>
          <w:rFonts w:ascii="Times New Roman" w:hAnsi="Times New Roman"/>
          <w:b w:val="false"/>
          <w:i w:val="false"/>
          <w:color w:val="000000"/>
          <w:sz w:val="21"/>
        </w:rPr>
        <w:t>[Filed 10/19/07, Notice 8/15/07—published 11/7/07, effective 12/12/07]</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7/17/08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5/7/08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8/13/08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9/17/08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9517B</w:t>
      </w:r>
      <w:r>
        <w:rPr>
          <w:rFonts w:ascii="Times New Roman" w:hAnsi="Times New Roman"/>
          <w:b w:val="false"/>
          <w:i w:val="false"/>
          <w:color w:val="000000"/>
          <w:sz w:val="21"/>
        </w:rPr>
        <w:t xml:space="preserve"> (Notice ARC 9360B, IAB 2/9/11)</w:t>
      </w:r>
      <w:r>
        <w:rPr>
          <w:rFonts w:ascii="Times New Roman" w:hAnsi="Times New Roman"/>
          <w:b w:val="false"/>
          <w:i w:val="false"/>
          <w:color w:val="000000"/>
          <w:sz w:val="21"/>
        </w:rPr>
        <w:t>, IAB 5/18/11, effective 6/22/11]</w:t>
      </w:r>
    </w:p>
    <w:p>
      <w:pPr>
        <w:spacing w:before="0" w:after="0"/>
        <w:ind w:left="120"/>
        <w:jc w:val="center"/>
      </w:pPr>
      <w:r>
        <w:rPr>
          <w:rFonts w:ascii="Times New Roman" w:hAnsi="Times New Roman"/>
          <w:b w:val="false"/>
          <w:i w:val="false"/>
          <w:color w:val="000000"/>
          <w:sz w:val="21"/>
        </w:rPr>
        <w:t>[Filed ARC 4299C</w:t>
      </w:r>
      <w:r>
        <w:rPr>
          <w:rFonts w:ascii="Times New Roman" w:hAnsi="Times New Roman"/>
          <w:b w:val="false"/>
          <w:i w:val="false"/>
          <w:color w:val="000000"/>
          <w:sz w:val="21"/>
        </w:rPr>
        <w:t xml:space="preserve"> (Notice ARC 4128C, IAB 11/21/18)</w:t>
      </w:r>
      <w:r>
        <w:rPr>
          <w:rFonts w:ascii="Times New Roman" w:hAnsi="Times New Roman"/>
          <w:b w:val="false"/>
          <w:i w:val="false"/>
          <w:color w:val="000000"/>
          <w:sz w:val="21"/>
        </w:rPr>
        <w:t>, IAB 2/13/19, effective 3/20/19]</w:t>
      </w:r>
    </w:p>
    <w:p>
      <w:pPr>
        <w:spacing w:before="0" w:after="0"/>
        <w:ind w:left="120"/>
        <w:jc w:val="center"/>
      </w:pPr>
      <w:r>
        <w:rPr>
          <w:rFonts w:ascii="Times New Roman" w:hAnsi="Times New Roman"/>
          <w:b w:val="false"/>
          <w:i w:val="false"/>
          <w:color w:val="000000"/>
          <w:sz w:val="21"/>
        </w:rPr>
        <w:t>[Filed ARC 8039C</w:t>
      </w:r>
      <w:r>
        <w:rPr>
          <w:rFonts w:ascii="Times New Roman" w:hAnsi="Times New Roman"/>
          <w:b w:val="false"/>
          <w:i w:val="false"/>
          <w:color w:val="000000"/>
          <w:sz w:val="21"/>
        </w:rPr>
        <w:t xml:space="preserve"> (Notice ARC 7529C, IAB 1/24/24)</w:t>
      </w:r>
      <w:r>
        <w:rPr>
          <w:rFonts w:ascii="Times New Roman" w:hAnsi="Times New Roman"/>
          <w:b w:val="false"/>
          <w:i w:val="false"/>
          <w:color w:val="000000"/>
          <w:sz w:val="21"/>
        </w:rPr>
        <w:t>, IAB 5/29/24, effective 7/3/24]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[Filed ARC 9262C</w:t>
      </w:r>
      <w:r>
        <w:rPr>
          <w:rFonts w:ascii="Times New Roman" w:hAnsi="Times New Roman"/>
          <w:b w:val="false"/>
          <w:i w:val="false"/>
          <w:color w:val="000000"/>
          <w:sz w:val="21"/>
        </w:rPr>
        <w:t xml:space="preserve"> (Notice ARC 8957C, IAB 2/19/25)</w:t>
      </w:r>
      <w:r>
        <w:rPr>
          <w:rFonts w:ascii="Times New Roman" w:hAnsi="Times New Roman"/>
          <w:b w:val="false"/>
          <w:i w:val="false"/>
          <w:color w:val="000000"/>
          <w:sz w:val="21"/>
        </w:rPr>
        <w:t>, IAB 5/14/25, effective 6/18/25]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2.pdf" Type="http://schemas.openxmlformats.org/officeDocument/2006/relationships/hyperlink" Id="rId5"/>
    <Relationship TargetMode="External" Target="https://www.legis.iowa.gov/docs/ico/chapter/148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