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658</w:t>
      </w:r>
    </w:p>
    <w:p>
      <w:pPr>
        <w:spacing w:before="0" w:after="0"/>
        <w:ind w:left="120"/>
        <w:jc w:val="center"/>
      </w:pPr>
      <w:r>
        <w:rPr>
          <w:rFonts w:ascii="Times New Roman" w:hAnsi="Times New Roman"/>
          <w:b w:val="false"/>
          <w:i w:val="false"/>
          <w:color w:val="000000"/>
          <w:sz w:val="21"/>
        </w:rPr>
        <w:t>LICENSURE OF GENETIC COUNSELORS</w:t>
      </w:r>
    </w:p>
    <w:p>
      <w:pPr>
        <w:spacing w:before="0" w:after="0"/>
        <w:ind w:left="120"/>
        <w:jc w:val="center"/>
      </w:pPr>
      <w:r>
        <w:rPr>
          <w:rFonts w:ascii="Times New Roman" w:hAnsi="Times New Roman"/>
          <w:b w:val="false"/>
          <w:i w:val="false"/>
          <w:color w:val="000000"/>
          <w:sz w:val="14"/>
        </w:rPr>
        <w:t>[Prior to 6/11/25, see Medicine Board[653] Ch 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481—658.1</w:t>
      </w:r>
      <w:r>
        <w:rPr>
          <w:rFonts w:ascii="Times New Roman" w:hAnsi="Times New Roman"/>
          <w:b/>
          <w:i w:val="false"/>
          <w:color w:val="000000"/>
          <w:sz w:val="22"/>
        </w:rPr>
        <w:t xml:space="preserve">(148H)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does not apply to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physician or surgeon or an osteopathic physician or surgeon licensed under Iowa Code chapter </w:t>
      </w:r>
      <w:hyperlink r:id="rId5">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 registered nurse or an advanced registered nurse practitioner licensed under Iowa Code chapter </w:t>
      </w:r>
      <w:hyperlink r:id="rId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 physician assistant licensed under Iowa Code chapter </w:t>
      </w:r>
      <w:hyperlink r:id="rId7">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other persons licensed under Iowa Code chapter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when acting within the scope of the person’s profession and doing work of a nature consistent with the person’s education and training.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person who is certified by the American Board of Medical Genetics and Genomics as a doctor of philosophy and is not a genetic counselor licensed pursuant to Iowa Code chapter </w:t>
      </w:r>
      <w:hyperlink r:id="rId9">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employed as a genetic counselor by the federal government or an agency thereof if the person provides genetic counseling services solely under the direction and control of the entity by which the person is employed.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genetic counseling intern.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481—658.2</w:t>
      </w:r>
      <w:r>
        <w:rPr>
          <w:rFonts w:ascii="Times New Roman" w:hAnsi="Times New Roman"/>
          <w:b/>
          <w:i w:val="false"/>
          <w:color w:val="000000"/>
          <w:sz w:val="22"/>
        </w:rPr>
        <w:t xml:space="preserve">(148H)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stated in Iowa Code chapter </w:t>
      </w:r>
      <w:hyperlink r:id="rId10">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in addition to those listed below, apply to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“American Board of Genetic Counseling”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“ABGC” </w:t>
      </w:r>
      <w:r>
        <w:rPr>
          <w:rFonts w:ascii="Times New Roman" w:hAnsi="Times New Roman"/>
          <w:b w:val="false"/>
          <w:i w:val="false"/>
          <w:color w:val="000000"/>
          <w:sz w:val="22"/>
        </w:rPr>
        <w:t>means the United States-based commission, or its equivalent or successor organization, that validates entry-level competency in the practice of genetic counseling through professional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“American Board of Medical Genetics and Genomics”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“ABMGG” </w:t>
      </w:r>
      <w:r>
        <w:rPr>
          <w:rFonts w:ascii="Times New Roman" w:hAnsi="Times New Roman"/>
          <w:b w:val="false"/>
          <w:i w:val="false"/>
          <w:color w:val="000000"/>
          <w:sz w:val="22"/>
        </w:rPr>
        <w:t>means the United States-based commission, or its equivalent or successor organization, that validates entry-level competency in the practice of genetic counseling through professional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481—658.3</w:t>
      </w:r>
      <w:r>
        <w:rPr>
          <w:rFonts w:ascii="Times New Roman" w:hAnsi="Times New Roman"/>
          <w:b/>
          <w:i w:val="false"/>
          <w:color w:val="000000"/>
          <w:sz w:val="22"/>
        </w:rPr>
        <w:t xml:space="preserve">(148H) </w:t>
      </w:r>
      <w:r>
        <w:rPr>
          <w:rFonts w:ascii="Times New Roman" w:hAnsi="Times New Roman"/>
          <w:b/>
          <w:i w:val="false"/>
          <w:color w:val="000000"/>
          <w:sz w:val="22"/>
        </w:rPr>
        <w:t xml:space="preserve">Titles used. </w:t>
      </w:r>
      <w:r>
        <w:rPr>
          <w:rFonts w:ascii="Times New Roman" w:hAnsi="Times New Roman"/>
          <w:b w:val="false"/>
          <w:i w:val="false"/>
          <w:color w:val="000000"/>
          <w:sz w:val="22"/>
        </w:rPr>
        <w:t xml:space="preserve">A genetic counselor licensed under Iowa Code chapter </w:t>
      </w:r>
      <w:hyperlink r:id="rId11">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may use the words “genetic counselor” or “licensed genetic counselor” or the corresponding abbreviation “LGC” after the person’s name. Persons who possess a provisional license shall add the designation “provisional licensed genetic counselor.”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481—658.4</w:t>
      </w:r>
      <w:r>
        <w:rPr>
          <w:rFonts w:ascii="Times New Roman" w:hAnsi="Times New Roman"/>
          <w:b/>
          <w:i w:val="false"/>
          <w:color w:val="000000"/>
          <w:sz w:val="22"/>
        </w:rPr>
        <w:t xml:space="preserve">(148H) </w:t>
      </w:r>
      <w:r>
        <w:rPr>
          <w:rFonts w:ascii="Times New Roman" w:hAnsi="Times New Roman"/>
          <w:b/>
          <w:i w:val="false"/>
          <w:color w:val="000000"/>
          <w:sz w:val="22"/>
        </w:rPr>
        <w:t xml:space="preserve">Qualifications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658.4(1)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for licensure under Iowa Code chapter </w:t>
      </w:r>
      <w:hyperlink r:id="rId12">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an application form and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active certification as a genetic counselor by the American Board of Genetic Counseling, as a genetic counselor by the American Board of Medical Genetics and Genomics, or as a medical geneticist by the American Board of Medical Genetics and Genomics, or the successor to any of the aforementioned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658.4(2)</w:t>
      </w:r>
      <w:r>
        <w:rPr>
          <w:rFonts w:ascii="Times New Roman" w:hAnsi="Times New Roman"/>
          <w:b w:val="false"/>
          <w:i w:val="false"/>
          <w:color w:val="000000"/>
          <w:sz w:val="22"/>
        </w:rPr>
        <w:t> </w:t>
      </w:r>
      <w:r>
        <w:rPr>
          <w:rFonts w:ascii="Times New Roman" w:hAnsi="Times New Roman"/>
          <w:b w:val="false"/>
          <w:i w:val="false"/>
          <w:color w:val="000000"/>
          <w:sz w:val="22"/>
        </w:rPr>
        <w:t>A licensee shall maintain active certification as a genetic counselor by the American Board of Genetic Counseling, as a genetic counselor by the American Board of Medical Genetics and Genomics, or as a medical geneticist by the American Board of Medical Genetics and Genomics, or the successor to any of the aforementioned organizations.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481—658.5</w:t>
      </w:r>
      <w:r>
        <w:rPr>
          <w:rFonts w:ascii="Times New Roman" w:hAnsi="Times New Roman"/>
          <w:b/>
          <w:i w:val="false"/>
          <w:color w:val="000000"/>
          <w:sz w:val="22"/>
        </w:rPr>
        <w:t xml:space="preserve">(148H) </w:t>
      </w:r>
      <w:r>
        <w:rPr>
          <w:rFonts w:ascii="Times New Roman" w:hAnsi="Times New Roman"/>
          <w:b/>
          <w:i w:val="false"/>
          <w:color w:val="000000"/>
          <w:sz w:val="22"/>
        </w:rPr>
        <w:t xml:space="preserve">Qualifications for provisional licensure. </w:t>
      </w:r>
      <w:r>
        <w:rPr>
          <w:rFonts w:ascii="Times New Roman" w:hAnsi="Times New Roman"/>
          <w:b w:val="false"/>
          <w:i w:val="false"/>
          <w:color w:val="000000"/>
          <w:sz w:val="22"/>
        </w:rPr>
        <w:t>The board may issue a provisional license to an applicant who meets all of the requirements for licensure except for the certification component and who has been granted active candidate status by the American Board of Genetic Counseling or the American Board of Medical Genetics and Genomics.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658.5(1)</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provisional license application form, proof of active candidate status, and supporting documentation prescribed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658.5(2)</w:t>
      </w:r>
      <w:r>
        <w:rPr>
          <w:rFonts w:ascii="Times New Roman" w:hAnsi="Times New Roman"/>
          <w:b w:val="false"/>
          <w:i w:val="false"/>
          <w:color w:val="000000"/>
          <w:sz w:val="22"/>
        </w:rPr>
        <w:t> </w:t>
      </w:r>
      <w:r>
        <w:rPr>
          <w:rFonts w:ascii="Times New Roman" w:hAnsi="Times New Roman"/>
          <w:b w:val="false"/>
          <w:i w:val="false"/>
          <w:color w:val="000000"/>
          <w:sz w:val="22"/>
        </w:rPr>
        <w:t>A provisional license expires and becomes inactive upon the earliest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Issuance of a license as a genetic counselor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Loss of active candidate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holding a provisional license that is inactive due to loss of active candidate status may submit an application for reactivation of the provisional license upon demonstrating that active candidate status has been reestablished.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application for extension of a provisional license shall be signed by a qualified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printed on the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658.5(3)</w:t>
      </w:r>
      <w:r>
        <w:rPr>
          <w:rFonts w:ascii="Times New Roman" w:hAnsi="Times New Roman"/>
          <w:b w:val="false"/>
          <w:i w:val="false"/>
          <w:color w:val="000000"/>
          <w:sz w:val="22"/>
        </w:rPr>
        <w:t> </w:t>
      </w:r>
      <w:r>
        <w:rPr>
          <w:rFonts w:ascii="Times New Roman" w:hAnsi="Times New Roman"/>
          <w:b w:val="false"/>
          <w:i w:val="false"/>
          <w:color w:val="000000"/>
          <w:sz w:val="22"/>
        </w:rPr>
        <w:t>A person with a provisional license shall work at all times under the supervision of a qualified supervisor.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481—658.6</w:t>
      </w:r>
      <w:r>
        <w:rPr>
          <w:rFonts w:ascii="Times New Roman" w:hAnsi="Times New Roman"/>
          <w:b/>
          <w:i w:val="false"/>
          <w:color w:val="000000"/>
          <w:sz w:val="22"/>
        </w:rPr>
        <w:t xml:space="preserve">(147,148H) </w:t>
      </w:r>
      <w:r>
        <w:rPr>
          <w:rFonts w:ascii="Times New Roman" w:hAnsi="Times New Roman"/>
          <w:b/>
          <w:i w:val="false"/>
          <w:color w:val="000000"/>
          <w:sz w:val="22"/>
        </w:rPr>
        <w:t xml:space="preserve">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licensure. </w:t>
      </w:r>
      <w:r>
        <w:rPr>
          <w:rFonts w:ascii="Times New Roman" w:hAnsi="Times New Roman"/>
          <w:b w:val="false"/>
          <w:i w:val="false"/>
          <w:color w:val="000000"/>
          <w:sz w:val="22"/>
        </w:rPr>
        <w:t>To apply for a license to practice genetic counseling,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 including required credentials and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nonrefundable initial application fee identified in </w:t>
      </w:r>
      <w:hyperlink r:id="rId13">
        <w:r>
          <w:rPr>
            <w:rStyle w:val="Hyperlink"/>
            <w:rFonts w:ascii="Times New Roman" w:hAnsi="Times New Roman"/>
            <w:b w:val="false"/>
            <w:i w:val="false"/>
            <w:color w:val="000000"/>
            <w:sz w:val="22"/>
          </w:rPr>
          <w:t>481—subrule 651.13(1)</w:t>
        </w:r>
      </w:hyperlink>
      <w:r>
        <w:rPr>
          <w:rFonts w:ascii="Times New Roman" w:hAnsi="Times New Roman"/>
          <w:b w:val="false"/>
          <w:i w:val="false"/>
          <w:color w:val="000000"/>
          <w:sz w:val="22"/>
        </w:rPr>
        <w:t xml:space="preserve"> and pay the fee identified in </w:t>
      </w:r>
      <w:hyperlink r:id="rId14">
        <w:r>
          <w:rPr>
            <w:rStyle w:val="Hyperlink"/>
            <w:rFonts w:ascii="Times New Roman" w:hAnsi="Times New Roman"/>
            <w:b w:val="false"/>
            <w:i w:val="false"/>
            <w:color w:val="000000"/>
            <w:sz w:val="22"/>
          </w:rPr>
          <w:t>481—subrule 651.13(6)</w:t>
        </w:r>
      </w:hyperlink>
      <w:r>
        <w:rPr>
          <w:rFonts w:ascii="Times New Roman" w:hAnsi="Times New Roman"/>
          <w:b w:val="false"/>
          <w:i w:val="false"/>
          <w:color w:val="000000"/>
          <w:sz w:val="22"/>
        </w:rPr>
        <w:t xml:space="preserve"> for the evaluation of the fingerprint packet and the national criminal history background checks by the division of criminal investigation (DCI) and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658.6(2)</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application form. </w:t>
      </w:r>
      <w:r>
        <w:rPr>
          <w:rFonts w:ascii="Times New Roman" w:hAnsi="Times New Roman"/>
          <w:b w:val="false"/>
          <w:i w:val="false"/>
          <w:color w:val="000000"/>
          <w:sz w:val="22"/>
        </w:rPr>
        <w:t>Each applicant shall submit the following information on the application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a genetic counseling training program or educational institution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other jurisdictions in the United States or other nations or territories in which the applicant is authorized to practice genetic counseling, including license, certificate of registration or certification number and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genetic counseling in any jurisdiction of the United States or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informal or nonpublic actions, such as letters of warning, letters of education, any confidential retraining, or any kind of confidential action taken toward a genetic counselor’s certification or license that is not public discipline; warnings issued, investigations conducted, or disciplinary actions taken, whether by voluntary agreement or formal action, by a medical, genetic counseling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letter sent directly from the ABGC or ABMGG to the board verifying the applicant holds active certification in genetic counseling by the ABGC or ABMGG for genetic counselor licensure or a letter sent directly from ABGC or ABMGG to the board verifying the applicant has been granted active candidate status for provisional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658.6(3)</w:t>
      </w:r>
      <w:r>
        <w:rPr>
          <w:rFonts w:ascii="Times New Roman" w:hAnsi="Times New Roman"/>
          <w:b w:val="false"/>
          <w:i w:val="false"/>
          <w:color w:val="000000"/>
          <w:sz w:val="22"/>
        </w:rPr>
        <w:t> </w:t>
      </w:r>
      <w:r>
        <w:rPr>
          <w:rFonts w:ascii="Times New Roman" w:hAnsi="Times New Roman"/>
          <w:b w:val="false"/>
          <w:i/>
          <w:color w:val="000000"/>
          <w:sz w:val="22"/>
        </w:rPr>
        <w:t xml:space="preserve">Application cycle. </w:t>
      </w:r>
      <w:r>
        <w:rPr>
          <w:rFonts w:ascii="Times New Roman" w:hAnsi="Times New Roman"/>
          <w:b w:val="false"/>
          <w:i w:val="false"/>
          <w:color w:val="000000"/>
          <w:sz w:val="22"/>
        </w:rPr>
        <w:t xml:space="preserve">If the applicant does not submit all materials within 90 days of the board’s initial request for further information, the application is inactive.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reactivate the application, an applicant shall submit a nonrefundable reactivation of application fee identified in </w:t>
      </w:r>
      <w:hyperlink r:id="rId15">
        <w:r>
          <w:rPr>
            <w:rStyle w:val="Hyperlink"/>
            <w:rFonts w:ascii="Times New Roman" w:hAnsi="Times New Roman"/>
            <w:b w:val="false"/>
            <w:i w:val="false"/>
            <w:color w:val="000000"/>
            <w:sz w:val="22"/>
          </w:rPr>
          <w:t>481—subrule 651.13(2)</w:t>
        </w:r>
      </w:hyperlink>
      <w:r>
        <w:rPr>
          <w:rFonts w:ascii="Times New Roman" w:hAnsi="Times New Roman"/>
          <w:b w:val="false"/>
          <w:i w:val="false"/>
          <w:color w:val="000000"/>
          <w:sz w:val="22"/>
        </w:rPr>
        <w:t xml:space="preserve"> and shall update application materials if requested by the board. The period for requesting reactivation is limited to 30 days from the date the applicant is notified that the application is inactive, unless the applicant is granted an extension in writing by the committee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the application reactivation period is expired, an applicant must reapply and submit a new, nonrefundable initial application fee and a new application, including required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658.6(4)</w:t>
      </w:r>
      <w:r>
        <w:rPr>
          <w:rFonts w:ascii="Times New Roman" w:hAnsi="Times New Roman"/>
          <w:b w:val="false"/>
          <w:i w:val="false"/>
          <w:color w:val="000000"/>
          <w:sz w:val="22"/>
        </w:rPr>
        <w:t> </w:t>
      </w:r>
      <w:r>
        <w:rPr>
          <w:rFonts w:ascii="Times New Roman" w:hAnsi="Times New Roman"/>
          <w:b w:val="false"/>
          <w:i/>
          <w:color w:val="000000"/>
          <w:sz w:val="22"/>
        </w:rPr>
        <w:t xml:space="preserve">Applicant responsibilities. </w:t>
      </w:r>
      <w:r>
        <w:rPr>
          <w:rFonts w:ascii="Times New Roman" w:hAnsi="Times New Roman"/>
          <w:b w:val="false"/>
          <w:i w:val="false"/>
          <w:color w:val="000000"/>
          <w:sz w:val="22"/>
        </w:rPr>
        <w:t>An applicant for licensure to practice genetic counseling bears full responsibility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all fees charged by regulatory authorities, national certifying organizations, health facilities, and educational institutions providing the information specified in subrule </w:t>
      </w:r>
      <w:hyperlink r:id="rId16">
        <w:r>
          <w:rPr>
            <w:rStyle w:val="Hyperlink"/>
            <w:rFonts w:ascii="Times New Roman" w:hAnsi="Times New Roman"/>
            <w:b w:val="false"/>
            <w:i w:val="false"/>
            <w:color w:val="000000"/>
            <w:sz w:val="22"/>
          </w:rPr>
          <w:t>658.6(2)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accurate, up-to-date, and truthful information on the application form including but not limited to that specified under subrule </w:t>
      </w:r>
      <w:hyperlink r:id="rId17">
        <w:r>
          <w:rPr>
            <w:rStyle w:val="Hyperlink"/>
            <w:rFonts w:ascii="Times New Roman" w:hAnsi="Times New Roman"/>
            <w:b w:val="false"/>
            <w:i w:val="false"/>
            <w:color w:val="000000"/>
            <w:sz w:val="22"/>
          </w:rPr>
          <w:t>658.6(2)</w:t>
        </w:r>
      </w:hyperlink>
      <w:r>
        <w:rPr>
          <w:rFonts w:ascii="Times New Roman" w:hAnsi="Times New Roman"/>
          <w:b w:val="false"/>
          <w:i w:val="false"/>
          <w:color w:val="000000"/>
          <w:sz w:val="22"/>
        </w:rPr>
        <w:t xml:space="preserve"> related to prior professional experience, education, training, active certification, licensure, and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658.6(5)</w:t>
      </w:r>
      <w:r>
        <w:rPr>
          <w:rFonts w:ascii="Times New Roman" w:hAnsi="Times New Roman"/>
          <w:b w:val="false"/>
          <w:i w:val="false"/>
          <w:color w:val="000000"/>
          <w:sz w:val="22"/>
        </w:rPr>
        <w:t> </w:t>
      </w:r>
      <w:r>
        <w:rPr>
          <w:rFonts w:ascii="Times New Roman" w:hAnsi="Times New Roman"/>
          <w:b w:val="false"/>
          <w:i/>
          <w:color w:val="000000"/>
          <w:sz w:val="22"/>
        </w:rPr>
        <w:t xml:space="preserve">Licensure application review process. </w:t>
      </w:r>
      <w:r>
        <w:rPr>
          <w:rFonts w:ascii="Times New Roman" w:hAnsi="Times New Roman"/>
          <w:b w:val="false"/>
          <w:i w:val="false"/>
          <w:color w:val="000000"/>
          <w:sz w:val="22"/>
        </w:rPr>
        <w:t xml:space="preserve">Licensure applications will be reviewed pursuant to the process outlined in rule </w:t>
      </w:r>
      <w:hyperlink r:id="rId18">
        <w:r>
          <w:rPr>
            <w:rStyle w:val="Hyperlink"/>
            <w:rFonts w:ascii="Times New Roman" w:hAnsi="Times New Roman"/>
            <w:b w:val="false"/>
            <w:i w:val="false"/>
            <w:color w:val="000000"/>
            <w:sz w:val="22"/>
          </w:rPr>
          <w:t>481—652.7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658.6(6)</w:t>
      </w:r>
      <w:r>
        <w:rPr>
          <w:rFonts w:ascii="Times New Roman" w:hAnsi="Times New Roman"/>
          <w:b w:val="false"/>
          <w:i w:val="false"/>
          <w:color w:val="000000"/>
          <w:sz w:val="22"/>
        </w:rPr>
        <w:t> </w:t>
      </w:r>
      <w:r>
        <w:rPr>
          <w:rFonts w:ascii="Times New Roman" w:hAnsi="Times New Roman"/>
          <w:b w:val="false"/>
          <w:i/>
          <w:color w:val="000000"/>
          <w:sz w:val="22"/>
        </w:rPr>
        <w:t xml:space="preserve">Grounds for denial of licensure. </w:t>
      </w:r>
      <w:r>
        <w:rPr>
          <w:rFonts w:ascii="Times New Roman" w:hAnsi="Times New Roman"/>
          <w:b w:val="false"/>
          <w:i w:val="false"/>
          <w:color w:val="000000"/>
          <w:sz w:val="22"/>
        </w:rPr>
        <w:t>The board, on the recommendation of the committee, and after consultation with an Iowa-licensed genetic counselor, may deny an application for licensure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requirements for licensure specified in this chapter pursuant to Iowa Code section </w:t>
      </w:r>
      <w:hyperlink r:id="rId19">
        <w:r>
          <w:rPr>
            <w:rStyle w:val="Hyperlink"/>
            <w:rFonts w:ascii="Times New Roman" w:hAnsi="Times New Roman"/>
            <w:b w:val="false"/>
            <w:i w:val="false"/>
            <w:color w:val="000000"/>
            <w:sz w:val="22"/>
          </w:rPr>
          <w:t>148H.3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0">
        <w:r>
          <w:rPr>
            <w:rStyle w:val="Hyperlink"/>
            <w:rFonts w:ascii="Times New Roman" w:hAnsi="Times New Roman"/>
            <w:b w:val="false"/>
            <w:i w:val="false"/>
            <w:color w:val="000000"/>
            <w:sz w:val="22"/>
          </w:rPr>
          <w:t>147.4</w:t>
        </w:r>
      </w:hyperlink>
      <w:r>
        <w:rPr>
          <w:rFonts w:ascii="Times New Roman" w:hAnsi="Times New Roman"/>
          <w:b w:val="false"/>
          <w:i w:val="false"/>
          <w:color w:val="000000"/>
          <w:sz w:val="22"/>
        </w:rPr>
        <w:t xml:space="preserve">, upon any of the grounds for which licensure may be revoked or suspended as specified in Iowa Code sections </w:t>
      </w:r>
      <w:hyperlink r:id="rId21">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148H.7</w:t>
        </w:r>
      </w:hyperlink>
      <w:r>
        <w:rPr>
          <w:rFonts w:ascii="Times New Roman" w:hAnsi="Times New Roman"/>
          <w:b w:val="false"/>
          <w:i w:val="false"/>
          <w:color w:val="000000"/>
          <w:sz w:val="22"/>
        </w:rPr>
        <w:t xml:space="preserve"> or in rule </w:t>
      </w:r>
      <w:hyperlink r:id="rId23">
        <w:r>
          <w:rPr>
            <w:rStyle w:val="Hyperlink"/>
            <w:rFonts w:ascii="Times New Roman" w:hAnsi="Times New Roman"/>
            <w:b w:val="false"/>
            <w:i w:val="false"/>
            <w:color w:val="000000"/>
            <w:sz w:val="22"/>
          </w:rPr>
          <w:t>481—658.20</w:t>
        </w:r>
      </w:hyperlink>
      <w:r>
        <w:rPr>
          <w:rFonts w:ascii="Times New Roman" w:hAnsi="Times New Roman"/>
          <w:b w:val="false"/>
          <w:i w:val="false"/>
          <w:color w:val="000000"/>
          <w:sz w:val="22"/>
        </w:rPr>
        <w:t>(147,148H,272C).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658.6(7)</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of denial. </w:t>
      </w:r>
      <w:r>
        <w:rPr>
          <w:rFonts w:ascii="Times New Roman" w:hAnsi="Times New Roman"/>
          <w:b w:val="false"/>
          <w:i w:val="false"/>
          <w:color w:val="000000"/>
          <w:sz w:val="22"/>
        </w:rPr>
        <w:t>Prior to the denial of licensure to an applicant, the board issues a preliminary notice of denial that is sent to the applicant by regular, first-class mail at the address provided by the applicant. The preliminary notice of denial is a public record and cites the factual and legal basis for denying the application, notifies the applicant of the appeal process, and specifies the date upon which the denial will become final if it is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658.6(8)</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r>
        <w:rPr>
          <w:rFonts w:ascii="Times New Roman" w:hAnsi="Times New Roman"/>
          <w:b w:val="false"/>
          <w:i w:val="false"/>
          <w:color w:val="000000"/>
          <w:sz w:val="22"/>
        </w:rPr>
        <w:t>An applicant who has received a preliminary notice of denial may appeal the denial and request a hearing on the issues related to the preliminary notice of denial by serving a request for hearing upon the executive director not more than 30 calendar days following the date when the preliminary notice of denial was mailed. The applicant’s current address shall be provided in the request for hearing. The request is deemed filed on the date it is received in the board office. If the request is received with a USPS nonmetered postmark, the board considers the postmark date as the date the request is filed. The request shall specify the factual or legal errors and that the applicant desires an evidentiary hearing and may provide additional written information or documents in support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658.6(9)</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an applicant appeals the preliminary notice of denial and requests a hearing, the hearing will be a contested case open to the public and conducted in accordance with </w:t>
      </w:r>
      <w:hyperlink r:id="rId24">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658.6(10)</w:t>
      </w:r>
      <w:r>
        <w:rPr>
          <w:rFonts w:ascii="Times New Roman" w:hAnsi="Times New Roman"/>
          <w:b w:val="false"/>
          <w:i w:val="false"/>
          <w:color w:val="000000"/>
          <w:sz w:val="22"/>
        </w:rPr>
        <w:t> </w:t>
      </w:r>
      <w:r>
        <w:rPr>
          <w:rFonts w:ascii="Times New Roman" w:hAnsi="Times New Roman"/>
          <w:b w:val="false"/>
          <w:i/>
          <w:color w:val="000000"/>
          <w:sz w:val="22"/>
        </w:rPr>
        <w:t xml:space="preserve">Finality. </w:t>
      </w:r>
      <w:r>
        <w:rPr>
          <w:rFonts w:ascii="Times New Roman" w:hAnsi="Times New Roman"/>
          <w:b w:val="false"/>
          <w:i w:val="false"/>
          <w:color w:val="000000"/>
          <w:sz w:val="22"/>
        </w:rPr>
        <w:t xml:space="preserve">If an applicant does not appeal a preliminary notice of denial in accordance with subrule </w:t>
      </w:r>
      <w:hyperlink r:id="rId25">
        <w:r>
          <w:rPr>
            <w:rStyle w:val="Hyperlink"/>
            <w:rFonts w:ascii="Times New Roman" w:hAnsi="Times New Roman"/>
            <w:b w:val="false"/>
            <w:i w:val="false"/>
            <w:color w:val="000000"/>
            <w:sz w:val="22"/>
          </w:rPr>
          <w:t>658.6(8)</w:t>
        </w:r>
      </w:hyperlink>
      <w:r>
        <w:rPr>
          <w:rFonts w:ascii="Times New Roman" w:hAnsi="Times New Roman"/>
          <w:b w:val="false"/>
          <w:i w:val="false"/>
          <w:color w:val="000000"/>
          <w:sz w:val="22"/>
        </w:rPr>
        <w:t>, the preliminary notice of denial automatically becomes final. A final denial of an application for licensure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658.6(11)</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appeal. </w:t>
      </w:r>
      <w:r>
        <w:rPr>
          <w:rFonts w:ascii="Times New Roman" w:hAnsi="Times New Roman"/>
          <w:b w:val="false"/>
          <w:i w:val="false"/>
          <w:color w:val="000000"/>
          <w:sz w:val="22"/>
        </w:rPr>
        <w:t xml:space="preserve">If an applicant appeals a preliminary notice of denial in accordance with subrule </w:t>
      </w:r>
      <w:hyperlink r:id="rId26">
        <w:r>
          <w:rPr>
            <w:rStyle w:val="Hyperlink"/>
            <w:rFonts w:ascii="Times New Roman" w:hAnsi="Times New Roman"/>
            <w:b w:val="false"/>
            <w:i w:val="false"/>
            <w:color w:val="000000"/>
            <w:sz w:val="22"/>
          </w:rPr>
          <w:t>658.6(8)</w:t>
        </w:r>
      </w:hyperlink>
      <w:r>
        <w:rPr>
          <w:rFonts w:ascii="Times New Roman" w:hAnsi="Times New Roman"/>
          <w:b w:val="false"/>
          <w:i w:val="false"/>
          <w:color w:val="000000"/>
          <w:sz w:val="22"/>
        </w:rPr>
        <w:t xml:space="preserve"> but the applicant fails to pursue that appeal to a final decision within one year from the date of the preliminary notice of denial, the board may dismiss the appeal. The appeal may be dismissed only after the board sends a written notice by first-class mail to the applicant at the applicant’s last-known address. The notice will state that the appeal will be dismissed and the preliminary notice of denial will become final if the applicant does not contact the board to schedule the appeal hearing within 30 days of the date the letter is mailed from the board office. Upon dismissal of an appeal, the preliminary notice of denial becomes final. A final denial of an application for licensure under this rule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658.6(12)</w:t>
      </w:r>
      <w:r>
        <w:rPr>
          <w:rFonts w:ascii="Times New Roman" w:hAnsi="Times New Roman"/>
          <w:b w:val="false"/>
          <w:i w:val="false"/>
          <w:color w:val="000000"/>
          <w:sz w:val="22"/>
        </w:rPr>
        <w:t> </w:t>
      </w:r>
      <w:r>
        <w:rPr>
          <w:rFonts w:ascii="Times New Roman" w:hAnsi="Times New Roman"/>
          <w:b w:val="false"/>
          <w:i/>
          <w:color w:val="000000"/>
          <w:sz w:val="22"/>
        </w:rPr>
        <w:t xml:space="preserve">Waiver prohibited. </w:t>
      </w:r>
      <w:r>
        <w:rPr>
          <w:rFonts w:ascii="Times New Roman" w:hAnsi="Times New Roman"/>
          <w:b w:val="false"/>
          <w:i w:val="false"/>
          <w:color w:val="000000"/>
          <w:sz w:val="22"/>
        </w:rPr>
        <w:t xml:space="preserve">Provisions of this rule are not subject to waiver pursuant to </w:t>
      </w:r>
      <w:hyperlink r:id="rId27">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481—658.7</w:t>
      </w:r>
      <w:r>
        <w:rPr>
          <w:rFonts w:ascii="Times New Roman" w:hAnsi="Times New Roman"/>
          <w:b/>
          <w:i w:val="false"/>
          <w:color w:val="000000"/>
          <w:sz w:val="22"/>
        </w:rPr>
        <w:t xml:space="preserve">(147,148H) </w:t>
      </w:r>
      <w:r>
        <w:rPr>
          <w:rFonts w:ascii="Times New Roman" w:hAnsi="Times New Roman"/>
          <w:b/>
          <w:i w:val="false"/>
          <w:color w:val="000000"/>
          <w:sz w:val="22"/>
        </w:rPr>
        <w:t xml:space="preserve">Display of license and notification required to change the board’s data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658.7(1)</w:t>
      </w:r>
      <w:r>
        <w:rPr>
          <w:rFonts w:ascii="Times New Roman" w:hAnsi="Times New Roman"/>
          <w:b w:val="false"/>
          <w:i w:val="false"/>
          <w:color w:val="000000"/>
          <w:sz w:val="22"/>
        </w:rPr>
        <w:t> </w:t>
      </w:r>
      <w:r>
        <w:rPr>
          <w:rFonts w:ascii="Times New Roman" w:hAnsi="Times New Roman"/>
          <w:b w:val="false"/>
          <w:i/>
          <w:color w:val="000000"/>
          <w:sz w:val="22"/>
        </w:rPr>
        <w:t xml:space="preserve">Display of license. </w:t>
      </w:r>
      <w:r>
        <w:rPr>
          <w:rFonts w:ascii="Times New Roman" w:hAnsi="Times New Roman"/>
          <w:b w:val="false"/>
          <w:i w:val="false"/>
          <w:color w:val="000000"/>
          <w:sz w:val="22"/>
        </w:rPr>
        <w:t>Licensed genetic counselors shall display the license issued by the board in a conspicuous place in their primary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658.7(2)</w:t>
      </w:r>
      <w:r>
        <w:rPr>
          <w:rFonts w:ascii="Times New Roman" w:hAnsi="Times New Roman"/>
          <w:b w:val="false"/>
          <w:i w:val="false"/>
          <w:color w:val="000000"/>
          <w:sz w:val="22"/>
        </w:rPr>
        <w:t> </w:t>
      </w:r>
      <w:r>
        <w:rPr>
          <w:rFonts w:ascii="Times New Roman" w:hAnsi="Times New Roman"/>
          <w:b w:val="false"/>
          <w:i/>
          <w:color w:val="000000"/>
          <w:sz w:val="22"/>
        </w:rPr>
        <w:t xml:space="preserve">Change of contact information. </w:t>
      </w:r>
      <w:r>
        <w:rPr>
          <w:rFonts w:ascii="Times New Roman" w:hAnsi="Times New Roman"/>
          <w:b w:val="false"/>
          <w:i w:val="false"/>
          <w:color w:val="000000"/>
          <w:sz w:val="22"/>
        </w:rPr>
        <w:t>Licensees shall notify the board within one month of a change in home address, address of the place of practice, home or practice telephone number, or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658.7(3)</w:t>
      </w:r>
      <w:r>
        <w:rPr>
          <w:rFonts w:ascii="Times New Roman" w:hAnsi="Times New Roman"/>
          <w:b w:val="false"/>
          <w:i w:val="false"/>
          <w:color w:val="000000"/>
          <w:sz w:val="22"/>
        </w:rPr>
        <w:t> </w:t>
      </w:r>
      <w:r>
        <w:rPr>
          <w:rFonts w:ascii="Times New Roman" w:hAnsi="Times New Roman"/>
          <w:b w:val="false"/>
          <w:i/>
          <w:color w:val="000000"/>
          <w:sz w:val="22"/>
        </w:rPr>
        <w:t xml:space="preserve">Change of full legal name. </w:t>
      </w:r>
      <w:r>
        <w:rPr>
          <w:rFonts w:ascii="Times New Roman" w:hAnsi="Times New Roman"/>
          <w:b w:val="false"/>
          <w:i w:val="false"/>
          <w:color w:val="000000"/>
          <w:sz w:val="22"/>
        </w:rPr>
        <w:t>A licensee shall notify the board of any change in the licensee’s full legal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658.7(4)</w:t>
      </w:r>
      <w:r>
        <w:rPr>
          <w:rFonts w:ascii="Times New Roman" w:hAnsi="Times New Roman"/>
          <w:b w:val="false"/>
          <w:i w:val="false"/>
          <w:color w:val="000000"/>
          <w:sz w:val="22"/>
        </w:rPr>
        <w:t> </w:t>
      </w:r>
      <w:r>
        <w:rPr>
          <w:rFonts w:ascii="Times New Roman" w:hAnsi="Times New Roman"/>
          <w:b w:val="false"/>
          <w:i/>
          <w:color w:val="000000"/>
          <w:sz w:val="22"/>
        </w:rPr>
        <w:t xml:space="preserve">Deceased. </w:t>
      </w:r>
      <w:r>
        <w:rPr>
          <w:rFonts w:ascii="Times New Roman" w:hAnsi="Times New Roman"/>
          <w:b w:val="false"/>
          <w:i w:val="false"/>
          <w:color w:val="000000"/>
          <w:sz w:val="22"/>
        </w:rPr>
        <w:t>A licensee’s file will be closed and labeled “deceased” when the board receives a copy of the licensee’s death certificate or other reliable information of the licensee’s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481—658.8</w:t>
      </w:r>
      <w:r>
        <w:rPr>
          <w:rFonts w:ascii="Times New Roman" w:hAnsi="Times New Roman"/>
          <w:b/>
          <w:i w:val="false"/>
          <w:color w:val="000000"/>
          <w:sz w:val="22"/>
        </w:rPr>
        <w:t xml:space="preserve">(147,148H,272C) </w:t>
      </w:r>
      <w:r>
        <w:rPr>
          <w:rFonts w:ascii="Times New Roman" w:hAnsi="Times New Roman"/>
          <w:b/>
          <w:i w:val="false"/>
          <w:color w:val="000000"/>
          <w:sz w:val="22"/>
        </w:rPr>
        <w:t xml:space="preserve">Biennial renewal of license required. </w:t>
      </w:r>
      <w:r>
        <w:rPr>
          <w:rFonts w:ascii="Times New Roman" w:hAnsi="Times New Roman"/>
          <w:b w:val="false"/>
          <w:i w:val="false"/>
          <w:color w:val="000000"/>
          <w:sz w:val="22"/>
        </w:rPr>
        <w:t xml:space="preserve">Pursuant to Iowa Code section </w:t>
      </w:r>
      <w:hyperlink r:id="rId28">
        <w:r>
          <w:rPr>
            <w:rStyle w:val="Hyperlink"/>
            <w:rFonts w:ascii="Times New Roman" w:hAnsi="Times New Roman"/>
            <w:b w:val="false"/>
            <w:i w:val="false"/>
            <w:color w:val="000000"/>
            <w:sz w:val="22"/>
          </w:rPr>
          <w:t>148H.3</w:t>
        </w:r>
      </w:hyperlink>
      <w:r>
        <w:rPr>
          <w:rFonts w:ascii="Times New Roman" w:hAnsi="Times New Roman"/>
          <w:b w:val="false"/>
          <w:i w:val="false"/>
          <w:color w:val="000000"/>
          <w:sz w:val="22"/>
        </w:rPr>
        <w:t xml:space="preserve">, a license expires on October 31 of odd-numbered years and can be renewed for the fee identified in </w:t>
      </w:r>
      <w:hyperlink r:id="rId29">
        <w:r>
          <w:rPr>
            <w:rStyle w:val="Hyperlink"/>
            <w:rFonts w:ascii="Times New Roman" w:hAnsi="Times New Roman"/>
            <w:b w:val="false"/>
            <w:i w:val="false"/>
            <w:color w:val="000000"/>
            <w:sz w:val="22"/>
          </w:rPr>
          <w:t>481—paragraph 651.14(2)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658.8(1)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applicant for renewal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letter sent directly from the ABGC or ABMGG to the board verifying that the applicant holds active certification in genetic counseling by the ABGC or ABMGG for genetic counselor licensure or a letter sent directly from ABGC or ABMGG to the board verifying the applicant has been granted active candidate status for provisional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Satisfactory evidence to the board that in the period since the license was issued or last renewed, the applicant has completed 30 hours of National Society of Genetic Counselors or ABMGG continuing education units as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658.8(2)</w:t>
      </w: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Certificates of licensure to practice genetic counseling expire on October 31 in odd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658.8(3)</w:t>
      </w:r>
      <w:r>
        <w:rPr>
          <w:rFonts w:ascii="Times New Roman" w:hAnsi="Times New Roman"/>
          <w:b w:val="false"/>
          <w:i w:val="false"/>
          <w:color w:val="000000"/>
          <w:sz w:val="22"/>
        </w:rPr>
        <w:t> </w:t>
      </w:r>
      <w:r>
        <w:rPr>
          <w:rFonts w:ascii="Times New Roman" w:hAnsi="Times New Roman"/>
          <w:b w:val="false"/>
          <w:i/>
          <w:color w:val="000000"/>
          <w:sz w:val="22"/>
        </w:rPr>
        <w:t xml:space="preserve">Prorated fees. </w:t>
      </w:r>
      <w:r>
        <w:rPr>
          <w:rFonts w:ascii="Times New Roman" w:hAnsi="Times New Roman"/>
          <w:b w:val="false"/>
          <w:i w:val="false"/>
          <w:color w:val="000000"/>
          <w:sz w:val="22"/>
        </w:rPr>
        <w:t>The first renewal fee for a license will be prorated on a monthly basis according to the date of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658.8(4)</w:t>
      </w:r>
      <w:r>
        <w:rPr>
          <w:rFonts w:ascii="Times New Roman" w:hAnsi="Times New Roman"/>
          <w:b w:val="false"/>
          <w:i w:val="false"/>
          <w:color w:val="000000"/>
          <w:sz w:val="22"/>
        </w:rPr>
        <w:t> </w:t>
      </w:r>
      <w:r>
        <w:rPr>
          <w:rFonts w:ascii="Times New Roman" w:hAnsi="Times New Roman"/>
          <w:b w:val="false"/>
          <w:i/>
          <w:color w:val="000000"/>
          <w:sz w:val="22"/>
        </w:rPr>
        <w:t xml:space="preserve">Renewal requirements and penalties for late renewal. </w:t>
      </w:r>
      <w:r>
        <w:rPr>
          <w:rFonts w:ascii="Times New Roman" w:hAnsi="Times New Roman"/>
          <w:b w:val="false"/>
          <w:i w:val="false"/>
          <w:color w:val="000000"/>
          <w:sz w:val="22"/>
        </w:rPr>
        <w:t>The licensee is responsible for renewing the license prior to its expiration. Failure of the licensee to receive notice does not relieve the licensee of responsibility for renewing that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the completed renewal application, staff will administratively issue a license that expires on October 31 of odd-numbered years. In the event the board receives adverse information on the renewal application, the board will issue the renewal license but may refer the adverse information for further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renewal shall be displayed in connection with the original certificate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licensee fails to submit the renewal application and renewal fee prior to the expiration date on the current license, a penalty fee identified in </w:t>
      </w:r>
      <w:hyperlink r:id="rId30">
        <w:r>
          <w:rPr>
            <w:rStyle w:val="Hyperlink"/>
            <w:rFonts w:ascii="Times New Roman" w:hAnsi="Times New Roman"/>
            <w:b w:val="false"/>
            <w:i w:val="false"/>
            <w:color w:val="000000"/>
            <w:sz w:val="22"/>
          </w:rPr>
          <w:t>481—subrule 651.13(4)</w:t>
        </w:r>
      </w:hyperlink>
      <w:r>
        <w:rPr>
          <w:rFonts w:ascii="Times New Roman" w:hAnsi="Times New Roman"/>
          <w:b w:val="false"/>
          <w:i w:val="false"/>
          <w:color w:val="000000"/>
          <w:sz w:val="22"/>
        </w:rPr>
        <w:t xml:space="preserve"> will be assessed for renewal in the grace period, a period up until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658.8(5)</w:t>
      </w: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Failure of a licensee to renew by January 1 will result in inactivation of the license, and the license will become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are prohibited from engaging in the practice of genetic counseling with an inactive or lapsed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Having a genetic counselor license in inactive or lapsed status does not preclude the board from taking disciplinary actions authorized in Iowa Code section </w:t>
      </w:r>
      <w:hyperlink r:id="rId31">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or </w:t>
      </w:r>
      <w:hyperlink r:id="rId32">
        <w:r>
          <w:rPr>
            <w:rStyle w:val="Hyperlink"/>
            <w:rFonts w:ascii="Times New Roman" w:hAnsi="Times New Roman"/>
            <w:b w:val="false"/>
            <w:i w:val="false"/>
            <w:color w:val="000000"/>
            <w:sz w:val="22"/>
          </w:rPr>
          <w:t>148H.7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481—658.9</w:t>
      </w:r>
      <w:r>
        <w:rPr>
          <w:rFonts w:ascii="Times New Roman" w:hAnsi="Times New Roman"/>
          <w:b/>
          <w:i w:val="false"/>
          <w:color w:val="000000"/>
          <w:sz w:val="22"/>
        </w:rPr>
        <w:t xml:space="preserve">(147,272C) </w:t>
      </w:r>
      <w:r>
        <w:rPr>
          <w:rFonts w:ascii="Times New Roman" w:hAnsi="Times New Roman"/>
          <w:b/>
          <w:i w:val="false"/>
          <w:color w:val="000000"/>
          <w:sz w:val="22"/>
        </w:rPr>
        <w:t xml:space="preserve">Reactivation of an inactive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658.9(1)</w:t>
      </w:r>
      <w:r>
        <w:rPr>
          <w:rFonts w:ascii="Times New Roman" w:hAnsi="Times New Roman"/>
          <w:b w:val="false"/>
          <w:i w:val="false"/>
          <w:color w:val="000000"/>
          <w:sz w:val="22"/>
        </w:rPr>
        <w:t> </w:t>
      </w:r>
      <w:r>
        <w:rPr>
          <w:rFonts w:ascii="Times New Roman" w:hAnsi="Times New Roman"/>
          <w:b w:val="false"/>
          <w:i/>
          <w:color w:val="000000"/>
          <w:sz w:val="22"/>
        </w:rPr>
        <w:t xml:space="preserve">Reactivation requirements. </w:t>
      </w:r>
      <w:r>
        <w:rPr>
          <w:rFonts w:ascii="Times New Roman" w:hAnsi="Times New Roman"/>
          <w:b w:val="false"/>
          <w:i w:val="false"/>
          <w:color w:val="000000"/>
          <w:sz w:val="22"/>
        </w:rPr>
        <w:t xml:space="preserve">Licensees who allow their licenses to go inactive by failing to renew may apply for reactivation of a license. Pursuant to Iowa Code section </w:t>
      </w:r>
      <w:hyperlink r:id="rId33">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applicants for reactivation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completed application for reactivation of a license to practice genetic counseling. The application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genetic counseling in any jurisdiction of the United States or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genetic counseling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Verification of an applicant’s hospital and clinical staff privileges and other professional experience for the past five years if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fingerprint packet to facilitate a national criminal history background check. The fee identified in </w:t>
      </w:r>
      <w:hyperlink r:id="rId34">
        <w:r>
          <w:rPr>
            <w:rStyle w:val="Hyperlink"/>
            <w:rFonts w:ascii="Times New Roman" w:hAnsi="Times New Roman"/>
            <w:b w:val="false"/>
            <w:i w:val="false"/>
            <w:color w:val="000000"/>
            <w:sz w:val="22"/>
          </w:rPr>
          <w:t>481—subrule 651.13(6)</w:t>
        </w:r>
      </w:hyperlink>
      <w:r>
        <w:rPr>
          <w:rFonts w:ascii="Times New Roman" w:hAnsi="Times New Roman"/>
          <w:b w:val="false"/>
          <w:i w:val="false"/>
          <w:color w:val="000000"/>
          <w:sz w:val="22"/>
        </w:rPr>
        <w:t xml:space="preserv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identified in </w:t>
      </w:r>
      <w:hyperlink r:id="rId35">
        <w:r>
          <w:rPr>
            <w:rStyle w:val="Hyperlink"/>
            <w:rFonts w:ascii="Times New Roman" w:hAnsi="Times New Roman"/>
            <w:b w:val="false"/>
            <w:i w:val="false"/>
            <w:color w:val="000000"/>
            <w:sz w:val="22"/>
          </w:rPr>
          <w:t>481—subrule 651.13(7)</w:t>
        </w:r>
      </w:hyperlink>
      <w:r>
        <w:rPr>
          <w:rFonts w:ascii="Times New Roman" w:hAnsi="Times New Roman"/>
          <w:b w:val="false"/>
          <w:i w:val="false"/>
          <w:color w:val="000000"/>
          <w:sz w:val="22"/>
        </w:rPr>
        <w:t xml:space="preserve"> plus the fee identified in </w:t>
      </w:r>
      <w:hyperlink r:id="rId36">
        <w:r>
          <w:rPr>
            <w:rStyle w:val="Hyperlink"/>
            <w:rFonts w:ascii="Times New Roman" w:hAnsi="Times New Roman"/>
            <w:b w:val="false"/>
            <w:i w:val="false"/>
            <w:color w:val="000000"/>
            <w:sz w:val="22"/>
          </w:rPr>
          <w:t>481—subrule 651.13(6)</w:t>
        </w:r>
      </w:hyperlink>
      <w:r>
        <w:rPr>
          <w:rFonts w:ascii="Times New Roman" w:hAnsi="Times New Roman"/>
          <w:b w:val="false"/>
          <w:i w:val="false"/>
          <w:color w:val="000000"/>
          <w:sz w:val="22"/>
        </w:rPr>
        <w:t xml:space="preserv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letter sent directly from the ABGC or ABMGG to the board verifying the applicant holds active certification in genetic counseling by the ABGC or ABMGG for genetic counselor licensure or a letter sent directly from the ABGC or ABMGG to the board verifying the applicant has been granted active candidate status for provisional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Meet any new requirements instituted since the license lapsed.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658.9(2)</w:t>
      </w:r>
      <w:r>
        <w:rPr>
          <w:rFonts w:ascii="Times New Roman" w:hAnsi="Times New Roman"/>
          <w:b w:val="false"/>
          <w:i w:val="false"/>
          <w:color w:val="000000"/>
          <w:sz w:val="22"/>
        </w:rPr>
        <w:t> </w:t>
      </w:r>
      <w:r>
        <w:rPr>
          <w:rFonts w:ascii="Times New Roman" w:hAnsi="Times New Roman"/>
          <w:b w:val="false"/>
          <w:i/>
          <w:color w:val="000000"/>
          <w:sz w:val="22"/>
        </w:rPr>
        <w:t xml:space="preserve">Reactivation for an applicant who has been out of practice for three years. </w:t>
      </w:r>
      <w:r>
        <w:rPr>
          <w:rFonts w:ascii="Times New Roman" w:hAnsi="Times New Roman"/>
          <w:b w:val="false"/>
          <w:i w:val="false"/>
          <w:color w:val="000000"/>
          <w:sz w:val="22"/>
        </w:rPr>
        <w:t>If an applicant for reactivation has not engaged in the field of genetic counseling or precision medicine in the past three years in any jurisdiction of the United States, the board may, after consultation with an Iowa-licensed genetic counselor,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Successfully complete board-approved continuing education or remediation.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board-approved employment-based monitoring program developed by the genetic counselor’s employer, an Iowa-licensed genetic counselor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any other pathway as agreed upon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481—658.10</w:t>
      </w:r>
      <w:r>
        <w:rPr>
          <w:rFonts w:ascii="Times New Roman" w:hAnsi="Times New Roman"/>
          <w:b/>
          <w:i w:val="false"/>
          <w:color w:val="000000"/>
          <w:sz w:val="22"/>
        </w:rPr>
        <w:t xml:space="preserve">(272C) </w:t>
      </w:r>
      <w:r>
        <w:rPr>
          <w:rFonts w:ascii="Times New Roman" w:hAnsi="Times New Roman"/>
          <w:b/>
          <w:i w:val="false"/>
          <w:color w:val="000000"/>
          <w:sz w:val="22"/>
        </w:rPr>
        <w:t xml:space="preserve">Code of ethics. </w:t>
      </w:r>
      <w:r>
        <w:rPr>
          <w:rFonts w:ascii="Times New Roman" w:hAnsi="Times New Roman"/>
          <w:b w:val="false"/>
          <w:i w:val="false"/>
          <w:color w:val="000000"/>
          <w:sz w:val="22"/>
        </w:rPr>
        <w:t>The NSGC Code of Ethics prepared and approved by the National Society of Genetic Counselors shall be utilized by the board as guiding principles in the practice of genetic counseling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481—658.11</w:t>
      </w:r>
      <w:r>
        <w:rPr>
          <w:rFonts w:ascii="Times New Roman" w:hAnsi="Times New Roman"/>
          <w:b/>
          <w:i w:val="false"/>
          <w:color w:val="000000"/>
          <w:sz w:val="22"/>
        </w:rPr>
        <w:t xml:space="preserve">(148H,272C) </w:t>
      </w:r>
      <w:r>
        <w:rPr>
          <w:rFonts w:ascii="Times New Roman" w:hAnsi="Times New Roman"/>
          <w:b/>
          <w:i w:val="false"/>
          <w:color w:val="000000"/>
          <w:sz w:val="22"/>
        </w:rPr>
        <w:t xml:space="preserve">Surrender of license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658.11(1)</w:t>
      </w:r>
      <w:r>
        <w:rPr>
          <w:rFonts w:ascii="Times New Roman" w:hAnsi="Times New Roman"/>
          <w:b w:val="false"/>
          <w:i w:val="false"/>
          <w:color w:val="000000"/>
          <w:sz w:val="22"/>
        </w:rPr>
        <w:t> </w:t>
      </w:r>
      <w:r>
        <w:rPr>
          <w:rFonts w:ascii="Times New Roman" w:hAnsi="Times New Roman"/>
          <w:b w:val="false"/>
          <w:i w:val="false"/>
          <w:color w:val="000000"/>
          <w:sz w:val="22"/>
        </w:rPr>
        <w:t>A genetic counselor whose ABGC certification has lapsed or whose certification has been revoked by the ABGC shall surrender the genetic counselor’s license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658.11(2)</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who loses active candidate status with the ABGC must immediately cease the practice of genetic counseling until the provisional licensee obtains an extension of the provisional license or obtains a new provisional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4339C</w:t>
      </w:r>
      <w:r>
        <w:rPr>
          <w:rFonts w:ascii="Times New Roman" w:hAnsi="Times New Roman"/>
          <w:b w:val="false"/>
          <w:i w:val="false"/>
          <w:color w:val="000000"/>
          <w:sz w:val="21"/>
        </w:rPr>
        <w:t xml:space="preserve"> (Notice ARC 4095C, IAB 10/24/18)</w:t>
      </w:r>
      <w:r>
        <w:rPr>
          <w:rFonts w:ascii="Times New Roman" w:hAnsi="Times New Roman"/>
          <w:b w:val="false"/>
          <w:i w:val="false"/>
          <w:color w:val="000000"/>
          <w:sz w:val="21"/>
        </w:rPr>
        <w:t>, IAB 3/13/19, effective 4/17/19]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4468C, IAB 6/5/19, effective 5/15/19]</w:t>
      </w:r>
    </w:p>
    <w:p>
      <w:pPr>
        <w:spacing w:before="0" w:after="0"/>
        <w:ind w:left="120"/>
        <w:jc w:val="center"/>
      </w:pPr>
      <w:r>
        <w:rPr>
          <w:rFonts w:ascii="Times New Roman" w:hAnsi="Times New Roman"/>
          <w:b w:val="false"/>
          <w:i w:val="false"/>
          <w:color w:val="000000"/>
          <w:sz w:val="21"/>
        </w:rPr>
        <w:t>[Filed ARC 4728C</w:t>
      </w:r>
      <w:r>
        <w:rPr>
          <w:rFonts w:ascii="Times New Roman" w:hAnsi="Times New Roman"/>
          <w:b w:val="false"/>
          <w:i w:val="false"/>
          <w:color w:val="000000"/>
          <w:sz w:val="21"/>
        </w:rPr>
        <w:t xml:space="preserve"> (Notice ARC 4477C, IAB 6/5/19)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4979C</w:t>
      </w:r>
      <w:r>
        <w:rPr>
          <w:rFonts w:ascii="Times New Roman" w:hAnsi="Times New Roman"/>
          <w:b w:val="false"/>
          <w:i w:val="false"/>
          <w:color w:val="000000"/>
          <w:sz w:val="21"/>
        </w:rPr>
        <w:t xml:space="preserve"> (Notice ARC 4806C, IAB 12/18/19)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9118C</w:t>
      </w:r>
      <w:r>
        <w:rPr>
          <w:rFonts w:ascii="Times New Roman" w:hAnsi="Times New Roman"/>
          <w:b w:val="false"/>
          <w:i w:val="false"/>
          <w:color w:val="000000"/>
          <w:sz w:val="21"/>
        </w:rPr>
        <w:t xml:space="preserve"> (Notice ARC 8703C,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April 17, 2019, effective date of Chapter 20 [ARC 4339C] delayed 70 days by the Administrative Rules Review Committee at its meeting held April 5, 2019; delay lifted at the meeting held May 14, 2019.</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pdf" Type="http://schemas.openxmlformats.org/officeDocument/2006/relationships/hyperlink" Id="rId5"/>
    <Relationship TargetMode="External" Target="https://www.legis.iowa.gov/docs/ico/chapter/152.pdf" Type="http://schemas.openxmlformats.org/officeDocument/2006/relationships/hyperlink" Id="rId6"/>
    <Relationship TargetMode="External" Target="https://www.legis.iowa.gov/docs/ico/chapter/148C.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48H.pdf" Type="http://schemas.openxmlformats.org/officeDocument/2006/relationships/hyperlink" Id="rId9"/>
    <Relationship TargetMode="External" Target="https://www.legis.iowa.gov/docs/ico/chapter/148H.pdf" Type="http://schemas.openxmlformats.org/officeDocument/2006/relationships/hyperlink" Id="rId10"/>
    <Relationship TargetMode="External" Target="https://www.legis.iowa.gov/docs/ico/chapter/148H.pdf" Type="http://schemas.openxmlformats.org/officeDocument/2006/relationships/hyperlink" Id="rId11"/>
    <Relationship TargetMode="External" Target="https://www.legis.iowa.gov/docs/ico/chapter/148H.pdf" Type="http://schemas.openxmlformats.org/officeDocument/2006/relationships/hyperlink" Id="rId12"/>
    <Relationship TargetMode="External" Target="https://www.legis.iowa.gov/docs/iac/rule/481.651.13.pdf" Type="http://schemas.openxmlformats.org/officeDocument/2006/relationships/hyperlink" Id="rId13"/>
    <Relationship TargetMode="External" Target="https://www.legis.iowa.gov/docs/iac/rule/481.651.13.pdf" Type="http://schemas.openxmlformats.org/officeDocument/2006/relationships/hyperlink" Id="rId14"/>
    <Relationship TargetMode="External" Target="https://www.legis.iowa.gov/docs/iac/rule/481.651.13.pdf" Type="http://schemas.openxmlformats.org/officeDocument/2006/relationships/hyperlink" Id="rId15"/>
    <Relationship TargetMode="External" Target="https://www.legis.iowa.gov/docs/iac/rule/653.658.6.pdf" Type="http://schemas.openxmlformats.org/officeDocument/2006/relationships/hyperlink" Id="rId16"/>
    <Relationship TargetMode="External" Target="https://www.legis.iowa.gov/docs/iac/rule/653.658.6.pdf" Type="http://schemas.openxmlformats.org/officeDocument/2006/relationships/hyperlink" Id="rId17"/>
    <Relationship TargetMode="External" Target="https://www.legis.iowa.gov/docs/iac/rule/481.652.7.pdf" Type="http://schemas.openxmlformats.org/officeDocument/2006/relationships/hyperlink" Id="rId18"/>
    <Relationship TargetMode="External" Target="https://www.legis.iowa.gov/docs/ico/chapter/148H.3.pdf" Type="http://schemas.openxmlformats.org/officeDocument/2006/relationships/hyperlink" Id="rId19"/>
    <Relationship TargetMode="External" Target="https://www.legis.iowa.gov/docs/ico/chapter/147.4.pdf" Type="http://schemas.openxmlformats.org/officeDocument/2006/relationships/hyperlink" Id="rId20"/>
    <Relationship TargetMode="External" Target="https://www.legis.iowa.gov/docs/ico/chapter/147.55.pdf" Type="http://schemas.openxmlformats.org/officeDocument/2006/relationships/hyperlink" Id="rId21"/>
    <Relationship TargetMode="External" Target="https://www.legis.iowa.gov/docs/ico/chapter/148H.7.pdf" Type="http://schemas.openxmlformats.org/officeDocument/2006/relationships/hyperlink" Id="rId22"/>
    <Relationship TargetMode="External" Target="https://www.legis.iowa.gov/docs/iac/rule/481.658.20.pdf" Type="http://schemas.openxmlformats.org/officeDocument/2006/relationships/hyperlink" Id="rId23"/>
    <Relationship TargetMode="External" Target="https://www.legis.iowa.gov/docs/iac/chapter/481.506.pdf" Type="http://schemas.openxmlformats.org/officeDocument/2006/relationships/hyperlink" Id="rId24"/>
    <Relationship TargetMode="External" Target="https://www.legis.iowa.gov/docs/iac/rule/653.658.6.pdf" Type="http://schemas.openxmlformats.org/officeDocument/2006/relationships/hyperlink" Id="rId25"/>
    <Relationship TargetMode="External" Target="https://www.legis.iowa.gov/docs/iac/rule/653.658.6.pdf" Type="http://schemas.openxmlformats.org/officeDocument/2006/relationships/hyperlink" Id="rId26"/>
    <Relationship TargetMode="External" Target="https://www.legis.iowa.gov/docs/iac/chapter/481.6.pdf" Type="http://schemas.openxmlformats.org/officeDocument/2006/relationships/hyperlink" Id="rId27"/>
    <Relationship TargetMode="External" Target="https://www.legis.iowa.gov/docs/ico/chapter/148H.3.pdf" Type="http://schemas.openxmlformats.org/officeDocument/2006/relationships/hyperlink" Id="rId28"/>
    <Relationship TargetMode="External" Target="https://www.legis.iowa.gov/docs/iac/rule/481.651.14.pdf" Type="http://schemas.openxmlformats.org/officeDocument/2006/relationships/hyperlink" Id="rId29"/>
    <Relationship TargetMode="External" Target="https://www.legis.iowa.gov/docs/iac/rule/481.651.13.pdf" Type="http://schemas.openxmlformats.org/officeDocument/2006/relationships/hyperlink" Id="rId30"/>
    <Relationship TargetMode="External" Target="https://www.legis.iowa.gov/docs/ico/chapter/147.55.pdf" Type="http://schemas.openxmlformats.org/officeDocument/2006/relationships/hyperlink" Id="rId31"/>
    <Relationship TargetMode="External" Target="https://www.legis.iowa.gov/docs/ico/chapter/148H.7.pdf" Type="http://schemas.openxmlformats.org/officeDocument/2006/relationships/hyperlink" Id="rId32"/>
    <Relationship TargetMode="External" Target="https://www.legis.iowa.gov/docs/ico/chapter/147.11.pdf" Type="http://schemas.openxmlformats.org/officeDocument/2006/relationships/hyperlink" Id="rId33"/>
    <Relationship TargetMode="External" Target="https://www.legis.iowa.gov/docs/iac/rule/481.651.13.pdf" Type="http://schemas.openxmlformats.org/officeDocument/2006/relationships/hyperlink" Id="rId34"/>
    <Relationship TargetMode="External" Target="https://www.legis.iowa.gov/docs/iac/rule/481.651.13.pdf" Type="http://schemas.openxmlformats.org/officeDocument/2006/relationships/hyperlink" Id="rId35"/>
    <Relationship TargetMode="External" Target="https://www.legis.iowa.gov/docs/iac/rule/481.651.13.pdf" Type="http://schemas.openxmlformats.org/officeDocument/2006/relationships/hyperlink" Id="rId36"/>
    <Relationship TargetMode="External" Target="https://www.legis.iowa.gov/docs/ico/chapter/147.pdf" Type="http://schemas.openxmlformats.org/officeDocument/2006/relationships/hyperlink" Id="rId37"/>
    <Relationship TargetMode="External" Target="https://www.legis.iowa.gov/docs/ico/chapter/148.pdf" Type="http://schemas.openxmlformats.org/officeDocument/2006/relationships/hyperlink" Id="rId38"/>
    <Relationship TargetMode="External" Target="https://www.legis.iowa.gov/docs/ico/chapter/148H.pdf" Type="http://schemas.openxmlformats.org/officeDocument/2006/relationships/hyperlink" Id="rId39"/>
    <Relationship TargetMode="External" Target="https://www.legis.iowa.gov/docs/ico/chapter/272C.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