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655</w:t>
      </w:r>
    </w:p>
    <w:p>
      <w:pPr>
        <w:spacing w:before="0" w:after="0"/>
        <w:ind w:left="120"/>
        <w:jc w:val="center"/>
      </w:pPr>
      <w:r>
        <w:rPr>
          <w:rFonts w:ascii="Times New Roman" w:hAnsi="Times New Roman"/>
          <w:b w:val="false"/>
          <w:i w:val="false"/>
          <w:color w:val="000000"/>
          <w:sz w:val="21"/>
        </w:rPr>
        <w:t>STANDARDS OF PRACTICE AND PRINCIPLES OF MEDICAL ETHICS</w:t>
      </w:r>
    </w:p>
    <w:p>
      <w:pPr>
        <w:spacing w:before="0" w:after="0"/>
        <w:ind w:left="120"/>
        <w:jc w:val="center"/>
      </w:pPr>
      <w:r>
        <w:rPr>
          <w:rFonts w:ascii="Times New Roman" w:hAnsi="Times New Roman"/>
          <w:b w:val="false"/>
          <w:i w:val="false"/>
          <w:color w:val="000000"/>
          <w:sz w:val="14"/>
        </w:rPr>
        <w:t>[Prior to 5/4/88, see 470—135.251 through 135.402]</w:t>
      </w:r>
    </w:p>
    <w:p>
      <w:pPr>
        <w:spacing w:before="0" w:after="0"/>
        <w:ind w:left="120"/>
        <w:jc w:val="center"/>
      </w:pPr>
      <w:r>
        <w:rPr>
          <w:rFonts w:ascii="Times New Roman" w:hAnsi="Times New Roman"/>
          <w:b w:val="false"/>
          <w:i w:val="false"/>
          <w:color w:val="000000"/>
          <w:sz w:val="14"/>
        </w:rPr>
        <w:t>[Prior to 6/11/25, see Medicine Board[653] Ch 13]</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5/21/30</w:t>
      </w:r>
    </w:p>
    <w:p>
      <w:pPr>
        <w:spacing w:before="0" w:after="0"/>
        <w:ind w:left="120"/>
        <w:jc w:val="both"/>
      </w:pPr>
      <w:r>
        <w:rPr>
          <w:rFonts w:ascii="Times New Roman" w:hAnsi="Times New Roman"/>
          <w:b/>
          <w:i w:val="false"/>
          <w:color w:val="000000"/>
          <w:sz w:val="22"/>
        </w:rPr>
        <w:t>481—655.1</w:t>
      </w:r>
      <w:r>
        <w:rPr>
          <w:rFonts w:ascii="Times New Roman" w:hAnsi="Times New Roman"/>
          <w:b/>
          <w:i w:val="false"/>
          <w:color w:val="000000"/>
          <w:sz w:val="22"/>
        </w:rPr>
        <w:t xml:space="preserve">(148,272C) </w:t>
      </w:r>
      <w:r>
        <w:rPr>
          <w:rFonts w:ascii="Times New Roman" w:hAnsi="Times New Roman"/>
          <w:b/>
          <w:i w:val="false"/>
          <w:color w:val="000000"/>
          <w:sz w:val="22"/>
        </w:rPr>
        <w:t xml:space="preserve">Standards of practice—packaging, labeling and records of prescription drugs dispensed by a physician.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655.1(1)</w:t>
      </w:r>
      <w:r>
        <w:rPr>
          <w:rFonts w:ascii="Times New Roman" w:hAnsi="Times New Roman"/>
          <w:b w:val="false"/>
          <w:i w:val="false"/>
          <w:color w:val="000000"/>
          <w:sz w:val="22"/>
        </w:rPr>
        <w:t> </w:t>
      </w:r>
      <w:r>
        <w:rPr>
          <w:rFonts w:ascii="Times New Roman" w:hAnsi="Times New Roman"/>
          <w:b w:val="false"/>
          <w:i w:val="false"/>
          <w:color w:val="000000"/>
          <w:sz w:val="22"/>
        </w:rPr>
        <w:t xml:space="preserve">A physician shall dispense a prescription drug only in a container that meets the requirements of the Poison Prevention Packaging Act of 1970, </w:t>
      </w:r>
      <w:r>
        <w:rPr>
          <w:rFonts w:ascii="Times New Roman" w:hAnsi="Times New Roman"/>
          <w:b w:val="false"/>
          <w:i w:val="false"/>
          <w:color w:val="000000"/>
          <w:sz w:val="22"/>
        </w:rPr>
        <w:t>15 U.S.C.</w:t>
      </w:r>
      <w:r>
        <w:rPr>
          <w:rFonts w:ascii="Times New Roman" w:hAnsi="Times New Roman"/>
          <w:b w:val="false"/>
          <w:i w:val="false"/>
          <w:color w:val="000000"/>
          <w:sz w:val="22"/>
        </w:rPr>
        <w:t xml:space="preserve"> Sections 1471-1476 (2001), unless otherwise requested by the patient, and of Section 502G of the Federal Food, Drug and Cosmetic Act, </w:t>
      </w:r>
      <w:r>
        <w:rPr>
          <w:rFonts w:ascii="Times New Roman" w:hAnsi="Times New Roman"/>
          <w:b w:val="false"/>
          <w:i w:val="false"/>
          <w:color w:val="000000"/>
          <w:sz w:val="22"/>
        </w:rPr>
        <w:t>21 U.S.C.</w:t>
      </w:r>
      <w:r>
        <w:rPr>
          <w:rFonts w:ascii="Times New Roman" w:hAnsi="Times New Roman"/>
          <w:b w:val="false"/>
          <w:i w:val="false"/>
          <w:color w:val="000000"/>
          <w:sz w:val="22"/>
        </w:rPr>
        <w:t xml:space="preserve"> Section 301 et seq. (2001).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655.1(2)</w:t>
      </w:r>
      <w:r>
        <w:rPr>
          <w:rFonts w:ascii="Times New Roman" w:hAnsi="Times New Roman"/>
          <w:b w:val="false"/>
          <w:i w:val="false"/>
          <w:color w:val="000000"/>
          <w:sz w:val="22"/>
        </w:rPr>
        <w:t> </w:t>
      </w:r>
      <w:r>
        <w:rPr>
          <w:rFonts w:ascii="Times New Roman" w:hAnsi="Times New Roman"/>
          <w:b w:val="false"/>
          <w:i w:val="false"/>
          <w:color w:val="000000"/>
          <w:sz w:val="22"/>
        </w:rPr>
        <w:t>A label affixed to a container in which a prescription drug is dispensed by a physician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of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date dispensed.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directions for administering the prescription drug and any cautionary statement deemed appropriate by the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name and strength of the prescription drug in the container.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655.1(3)</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provisions of subrules </w:t>
      </w:r>
      <w:hyperlink r:id="rId5">
        <w:r>
          <w:rPr>
            <w:rStyle w:val="Hyperlink"/>
            <w:rFonts w:ascii="Times New Roman" w:hAnsi="Times New Roman"/>
            <w:b w:val="false"/>
            <w:i w:val="false"/>
            <w:color w:val="000000"/>
            <w:sz w:val="22"/>
          </w:rPr>
          <w:t>655.1(1)</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655.1(2)</w:t>
        </w:r>
      </w:hyperlink>
      <w:r>
        <w:rPr>
          <w:rFonts w:ascii="Times New Roman" w:hAnsi="Times New Roman"/>
          <w:b w:val="false"/>
          <w:i w:val="false"/>
          <w:color w:val="000000"/>
          <w:sz w:val="22"/>
        </w:rPr>
        <w:t xml:space="preserve"> shall not apply to packaged drug samples.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655.1(4)</w:t>
      </w:r>
      <w:r>
        <w:rPr>
          <w:rFonts w:ascii="Times New Roman" w:hAnsi="Times New Roman"/>
          <w:b w:val="false"/>
          <w:i w:val="false"/>
          <w:color w:val="000000"/>
          <w:sz w:val="22"/>
        </w:rPr>
        <w:t> </w:t>
      </w:r>
      <w:r>
        <w:rPr>
          <w:rFonts w:ascii="Times New Roman" w:hAnsi="Times New Roman"/>
          <w:b w:val="false"/>
          <w:i w:val="false"/>
          <w:color w:val="000000"/>
          <w:sz w:val="22"/>
        </w:rPr>
        <w:t>Physicians must document all prescription drugs dispensed to patients, including required label information. Noting such information on the patient’s chart or record maintained by the physician is sufficient.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9115C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481—655.2</w:t>
      </w:r>
      <w:r>
        <w:rPr>
          <w:rFonts w:ascii="Times New Roman" w:hAnsi="Times New Roman"/>
          <w:b/>
          <w:i w:val="false"/>
          <w:color w:val="000000"/>
          <w:sz w:val="22"/>
        </w:rPr>
        <w:t xml:space="preserve">(124,148,272C) </w:t>
      </w:r>
      <w:r>
        <w:rPr>
          <w:rFonts w:ascii="Times New Roman" w:hAnsi="Times New Roman"/>
          <w:b/>
          <w:i w:val="false"/>
          <w:color w:val="000000"/>
          <w:sz w:val="22"/>
        </w:rPr>
        <w:t xml:space="preserve">Standards of practice—appropriate pain management.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655.2(1)</w:t>
      </w:r>
      <w:r>
        <w:rPr>
          <w:rFonts w:ascii="Times New Roman" w:hAnsi="Times New Roman"/>
          <w:b w:val="false"/>
          <w:i w:val="false"/>
          <w:color w:val="000000"/>
          <w:sz w:val="22"/>
        </w:rPr>
        <w:t> </w:t>
      </w:r>
      <w:r>
        <w:rPr>
          <w:rFonts w:ascii="Times New Roman" w:hAnsi="Times New Roman"/>
          <w:b w:val="false"/>
          <w:i/>
          <w:color w:val="000000"/>
          <w:sz w:val="22"/>
        </w:rPr>
        <w:t xml:space="preserve">Standards. </w:t>
      </w:r>
      <w:r>
        <w:rPr>
          <w:rFonts w:ascii="Times New Roman" w:hAnsi="Times New Roman"/>
          <w:b w:val="false"/>
          <w:i w:val="false"/>
          <w:color w:val="000000"/>
          <w:sz w:val="22"/>
        </w:rPr>
        <w:t>This rule establishes standards of practice for the management of acute and chronic pain. The board encourages the use of nonopioid pharmacologic therapy and nonpharmacologic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This rule is intended to encourage appropriate pain management, including the use of opioids for the treatment of pain, while stressing the need to establish safeguards to minimize the potential for substance abuse and drug diversion.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goal of pain management is to treat each patient’s pain in relation to the patient’s overall health. At the end of life, the goals may shift to palliative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Pain management is an important part of medical practice. Unmanaged or inappropriately treated pain impacts patients’ quality of life, reduces patients’ ability to be productive members of society, and increases patients’ use of health care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Physicians treating pain with opioids in a manner consistent with appropriate pain management practices should not fear board action. Dosage is not the sole measure of determining whether a physician has complied with appropriate pain management practices. The board recognizes the complexity of treating patients with chronic pain or a substance abuse history. Generally, the board is concerned about a pattern of improper pain management or a single occurrence of willful or gross overtreatment or undertreatment of pain.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Inappropriate pain management is a departure from the acceptable standard of practice in Iowa and may be grounds for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655.2(2)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For the purposes of this rule, the following terms are defined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“Acute pain” </w:t>
      </w:r>
      <w:r>
        <w:rPr>
          <w:rFonts w:ascii="Times New Roman" w:hAnsi="Times New Roman"/>
          <w:b w:val="false"/>
          <w:i w:val="false"/>
          <w:color w:val="000000"/>
          <w:sz w:val="22"/>
        </w:rPr>
        <w:t>means the normal, predicted physiological response to a noxious chemical, thermal or mechanical stimulus and typically is associated with invasive procedures, trauma and disease. Generally, acute pain is self-limited, lasting no more than a few weeks following the initial stimulus.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“Addiction” </w:t>
      </w:r>
      <w:r>
        <w:rPr>
          <w:rFonts w:ascii="Times New Roman" w:hAnsi="Times New Roman"/>
          <w:b w:val="false"/>
          <w:i w:val="false"/>
          <w:color w:val="000000"/>
          <w:sz w:val="22"/>
        </w:rPr>
        <w:t>means a primary, chronic, neurobiologic disease, with genetic, psychosocial, and environmental factors influencing its development and manifestations. It is characterized by behaviors that include the following: impaired control over drug use, craving, compulsive use, and continued use despite harm. Physical dependence and tolerance are normal physiological consequences of extended opioid therapy for pain and are not the same as addiction.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“Chronic pain” </w:t>
      </w:r>
      <w:r>
        <w:rPr>
          <w:rFonts w:ascii="Times New Roman" w:hAnsi="Times New Roman"/>
          <w:b w:val="false"/>
          <w:i w:val="false"/>
          <w:color w:val="000000"/>
          <w:sz w:val="22"/>
        </w:rPr>
        <w:t>means pain that lasts longer than three months or past the time of normal tissue healing.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“Pain” </w:t>
      </w:r>
      <w:r>
        <w:rPr>
          <w:rFonts w:ascii="Times New Roman" w:hAnsi="Times New Roman"/>
          <w:b w:val="false"/>
          <w:i w:val="false"/>
          <w:color w:val="000000"/>
          <w:sz w:val="22"/>
        </w:rPr>
        <w:t>means an unpleasant sensory and emotional experience associated with actual or potential tissue damage or described in terms of such damage. Pain is an individual, multifactorial experience influenced by culture, previous pain events, beliefs, mood and ability to cope.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“Physical dependence” </w:t>
      </w:r>
      <w:r>
        <w:rPr>
          <w:rFonts w:ascii="Times New Roman" w:hAnsi="Times New Roman"/>
          <w:b w:val="false"/>
          <w:i w:val="false"/>
          <w:color w:val="000000"/>
          <w:sz w:val="22"/>
        </w:rPr>
        <w:t>means a state of adaptation that is manifested by drug class-specific signs and symptoms that can be produced by abrupt cessation, rapid dose reduction, decreasing blood level of the drug, or administration of an antagonist. Physical dependence, by itself, does not equate with addiction.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“Pseudoaddiction” </w:t>
      </w:r>
      <w:r>
        <w:rPr>
          <w:rFonts w:ascii="Times New Roman" w:hAnsi="Times New Roman"/>
          <w:b w:val="false"/>
          <w:i w:val="false"/>
          <w:color w:val="000000"/>
          <w:sz w:val="22"/>
        </w:rPr>
        <w:t>means an iatrogenic syndrome resulting from the misinterpretation of relief-seeking behaviors as though they are drug-seeking behaviors that are commonly seen with addiction. The relief-seeking behaviors resolve upon institution of effective analgesic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“Substance abuse” </w:t>
      </w:r>
      <w:r>
        <w:rPr>
          <w:rFonts w:ascii="Times New Roman" w:hAnsi="Times New Roman"/>
          <w:b w:val="false"/>
          <w:i w:val="false"/>
          <w:color w:val="000000"/>
          <w:sz w:val="22"/>
        </w:rPr>
        <w:t>means the use of a drug, including alcohol, by the patient in an inappropriate manner that may cause harm to the patient or others, or the use of a drug for an indication other than that intended by the prescribing clinician. An abuser may or may not be physically dependent on or addicted to the drug.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“Tolerance” </w:t>
      </w:r>
      <w:r>
        <w:rPr>
          <w:rFonts w:ascii="Times New Roman" w:hAnsi="Times New Roman"/>
          <w:b w:val="false"/>
          <w:i w:val="false"/>
          <w:color w:val="000000"/>
          <w:sz w:val="22"/>
        </w:rPr>
        <w:t>means a physiological state resulting from regular use of a drug in which an increased dosage is needed to produce a specific effect, or a reduced effect is observed with a constant dose over time. Tolerance may or may not be evident during opioid treatment and does not equate with addiction.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“Undertreatment of pain” </w:t>
      </w:r>
      <w:r>
        <w:rPr>
          <w:rFonts w:ascii="Times New Roman" w:hAnsi="Times New Roman"/>
          <w:b w:val="false"/>
          <w:i w:val="false"/>
          <w:color w:val="000000"/>
          <w:sz w:val="22"/>
        </w:rPr>
        <w:t>means the failure to properly assess, treat and manage pain or the failure to appropriately document a sound rationale for not treating pain.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655.2(3)</w:t>
      </w:r>
      <w:r>
        <w:rPr>
          <w:rFonts w:ascii="Times New Roman" w:hAnsi="Times New Roman"/>
          <w:b w:val="false"/>
          <w:i w:val="false"/>
          <w:color w:val="000000"/>
          <w:sz w:val="22"/>
        </w:rPr>
        <w:t> </w:t>
      </w:r>
      <w:r>
        <w:rPr>
          <w:rFonts w:ascii="Times New Roman" w:hAnsi="Times New Roman"/>
          <w:b w:val="false"/>
          <w:i/>
          <w:color w:val="000000"/>
          <w:sz w:val="22"/>
        </w:rPr>
        <w:t xml:space="preserve">Laws and regulations. </w:t>
      </w:r>
      <w:r>
        <w:rPr>
          <w:rFonts w:ascii="Times New Roman" w:hAnsi="Times New Roman"/>
          <w:b w:val="false"/>
          <w:i w:val="false"/>
          <w:color w:val="000000"/>
          <w:sz w:val="22"/>
        </w:rPr>
        <w:t>Nothing in this rule relieves a physician from fully complying with applicable federal and state laws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655.2(4)</w:t>
      </w:r>
      <w:r>
        <w:rPr>
          <w:rFonts w:ascii="Times New Roman" w:hAnsi="Times New Roman"/>
          <w:b w:val="false"/>
          <w:i w:val="false"/>
          <w:color w:val="000000"/>
          <w:sz w:val="22"/>
        </w:rPr>
        <w:t> </w:t>
      </w:r>
      <w:r>
        <w:rPr>
          <w:rFonts w:ascii="Times New Roman" w:hAnsi="Times New Roman"/>
          <w:b w:val="false"/>
          <w:i/>
          <w:color w:val="000000"/>
          <w:sz w:val="22"/>
        </w:rPr>
        <w:t xml:space="preserve">Undertreatment of pain. </w:t>
      </w:r>
      <w:r>
        <w:rPr>
          <w:rFonts w:ascii="Times New Roman" w:hAnsi="Times New Roman"/>
          <w:b w:val="false"/>
          <w:i w:val="false"/>
          <w:color w:val="000000"/>
          <w:sz w:val="22"/>
        </w:rPr>
        <w:t>The undertreatment of pain is a departure from the acceptable standard of practice in Iowa. Undertreatment may include a failure to recognize symptoms and signs of pain, a failure to treat pain within a reasonable amount of time, a failure to allow interventions, e.g., analgesia, to become effective before invasive steps are taken, a failure to address pain needs in patients with reduced cognitive status, a failure to use opioids for terminal pain due to the physician’s concern with addicting the patient, or a failure to use an adequate level of pain management.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655.2(5)</w:t>
      </w:r>
      <w:r>
        <w:rPr>
          <w:rFonts w:ascii="Times New Roman" w:hAnsi="Times New Roman"/>
          <w:b w:val="false"/>
          <w:i w:val="false"/>
          <w:color w:val="000000"/>
          <w:sz w:val="22"/>
        </w:rPr>
        <w:t> </w:t>
      </w:r>
      <w:r>
        <w:rPr>
          <w:rFonts w:ascii="Times New Roman" w:hAnsi="Times New Roman"/>
          <w:b w:val="false"/>
          <w:i/>
          <w:color w:val="000000"/>
          <w:sz w:val="22"/>
        </w:rPr>
        <w:t xml:space="preserve">Assessment and treatment of acute and chronic pain. </w:t>
      </w:r>
      <w:r>
        <w:rPr>
          <w:rFonts w:ascii="Times New Roman" w:hAnsi="Times New Roman"/>
          <w:b w:val="false"/>
          <w:i w:val="false"/>
          <w:color w:val="000000"/>
          <w:sz w:val="22"/>
        </w:rPr>
        <w:t>Appropriate assessment of the etiology of the pain is essential to the appropriate treatment of acute and chronic pain.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Prescribing opioids for the treatment of acute and chronic pain should only be accomplished within an established physician-patient relationship and should be based on clearly diagnosed and documented pain. Appropriate management of acute and chronic pain should include an assessment of the mechanism, type and intensity of pain. The patient’s medical record should clearly document a medical history, a pain history, a clinical examination, a medical diagnosis and a treatment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physician who prescribes, dispenses or administers opioids to patients for the treatment of chronic pain should become familiar with the U.S. Centers for Disease Control and Prevention (CDC) Guideline for Prescribing Opioids for Chronic Pain published on March 15, 2016.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655.2(6)</w:t>
      </w:r>
      <w:r>
        <w:rPr>
          <w:rFonts w:ascii="Times New Roman" w:hAnsi="Times New Roman"/>
          <w:b w:val="false"/>
          <w:i w:val="false"/>
          <w:color w:val="000000"/>
          <w:sz w:val="22"/>
        </w:rPr>
        <w:t> </w:t>
      </w:r>
      <w:r>
        <w:rPr>
          <w:rFonts w:ascii="Times New Roman" w:hAnsi="Times New Roman"/>
          <w:b w:val="false"/>
          <w:i/>
          <w:color w:val="000000"/>
          <w:sz w:val="22"/>
        </w:rPr>
        <w:t xml:space="preserve">Effective management of chronic pain. </w:t>
      </w:r>
      <w:r>
        <w:rPr>
          <w:rFonts w:ascii="Times New Roman" w:hAnsi="Times New Roman"/>
          <w:b w:val="false"/>
          <w:i w:val="false"/>
          <w:color w:val="000000"/>
          <w:sz w:val="22"/>
        </w:rPr>
        <w:t>To ensure that chronic pain is properly assessed and treated, a physician who prescribes, dispenses or administers opioids to a patient for the treatment of chronic pain shall exercise sound clinical judgment and establish an effective pain management plan in accordance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Patient evaluation. </w:t>
      </w:r>
      <w:r>
        <w:rPr>
          <w:rFonts w:ascii="Times New Roman" w:hAnsi="Times New Roman"/>
          <w:b w:val="false"/>
          <w:i w:val="false"/>
          <w:color w:val="000000"/>
          <w:sz w:val="22"/>
        </w:rPr>
        <w:t>Prior to the patient starting treatment, a patient evaluation must be conducted that includes a physical examination, a comprehensive medical history, pain assessment, and examination of physical and psychological function. This evaluation should also cover diagnostic studies, past interventions, medication and substance abuse history, and any underlying conditions. Depending on the complexity of the case and the physician’s expertise, consultation or referral to specialists in pain medicine, addiction medicine, or areas associated with the patient’s pain may be necessary. Interdisciplinary evaluation is recommended.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Treatment plan. </w:t>
      </w:r>
      <w:r>
        <w:rPr>
          <w:rFonts w:ascii="Times New Roman" w:hAnsi="Times New Roman"/>
          <w:b w:val="false"/>
          <w:i w:val="false"/>
          <w:color w:val="000000"/>
          <w:sz w:val="22"/>
        </w:rPr>
        <w:t>The physician must create a tailored treatment plan addressing the patient’s individual needs, outlining treatment objectives such as pain relief or improved functioning, and indicating any planned diagnostic evaluations or treatments. The plan should include other treatment modalities and rehabilitation programs used. Short- and long-term pain relief needs should be considered, along with the patient’s ability to request pain relief and the patient’s setting. Whenever possible, opioids should be prescribed by one physician and filled at one pharmacy.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Informed consent. </w:t>
      </w:r>
      <w:r>
        <w:rPr>
          <w:rFonts w:ascii="Times New Roman" w:hAnsi="Times New Roman"/>
          <w:b w:val="false"/>
          <w:i w:val="false"/>
          <w:color w:val="000000"/>
          <w:sz w:val="22"/>
        </w:rPr>
        <w:t>A discussion of the risks and benefits of opioids with the patient or person representing the patient must be documented.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Periodic review. </w:t>
      </w:r>
      <w:r>
        <w:rPr>
          <w:rFonts w:ascii="Times New Roman" w:hAnsi="Times New Roman"/>
          <w:b w:val="false"/>
          <w:i w:val="false"/>
          <w:color w:val="000000"/>
          <w:sz w:val="22"/>
        </w:rPr>
        <w:t>The physician must regularly review the patient’s drug treatment course and pain source. Drug therapy should be adjusted to meet individual patient needs, based on progress toward treatment plan objectives. If reviews show treatment plan objectives are not being met or indicate diversion or substance abuse patterns, the physician should reconsider drug therapy and explore other treatment options. Long-term opioid use may lead to tolerance and abnormal pain sensitivity, meaning increasing doses may not improve pain control or function.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Consultation/referral. </w:t>
      </w:r>
      <w:r>
        <w:rPr>
          <w:rFonts w:ascii="Times New Roman" w:hAnsi="Times New Roman"/>
          <w:b w:val="false"/>
          <w:i w:val="false"/>
          <w:color w:val="000000"/>
          <w:sz w:val="22"/>
        </w:rPr>
        <w:t>A specialty consultation, including with a physician with expertise in addiction medicine or substance abuse counseling, may be considered if there is evidence of significant adverse effects, lack of response to the medication, diversion, or a pattern of substance abuse. The board encourages a multidisciplinary approach to chronic pain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Documentation. </w:t>
      </w:r>
      <w:r>
        <w:rPr>
          <w:rFonts w:ascii="Times New Roman" w:hAnsi="Times New Roman"/>
          <w:b w:val="false"/>
          <w:i w:val="false"/>
          <w:color w:val="000000"/>
          <w:sz w:val="22"/>
        </w:rPr>
        <w:t>The physician shall keep accurate, timely, and complete records that detail compliance with this subrule, including patient evaluation, diagnostic studies, treatment modalities, treatment plan, informed consent, periodic review, consultation, and any other relevant information about the patient’s condition and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Pain management agreements. </w:t>
      </w:r>
      <w:r>
        <w:rPr>
          <w:rFonts w:ascii="Times New Roman" w:hAnsi="Times New Roman"/>
          <w:b w:val="false"/>
          <w:i w:val="false"/>
          <w:color w:val="000000"/>
          <w:sz w:val="22"/>
        </w:rPr>
        <w:t>Physicians treating chronic pain with opioids should consider implementing a pain management agreement with each patient outlining medication use rules and consequences for misuse. The decision to use such an agreement should be based on individual patient evaluation, weighing risks and benefits of long-term opioid treatment. If opioid treatment exceeds 90 days for chronic pain, and there is a concern for drug abuse or diversion, a pain management agreement should be used. If a physician opts not to use a pain management agreement, reasons should be documented in the patient’s medical records. Pain management agreements are not required for hospice or nursing home patients.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Substance abuse history or comorbid psychiatric disorder. </w:t>
      </w:r>
      <w:r>
        <w:rPr>
          <w:rFonts w:ascii="Times New Roman" w:hAnsi="Times New Roman"/>
          <w:b w:val="false"/>
          <w:i w:val="false"/>
          <w:color w:val="000000"/>
          <w:sz w:val="22"/>
        </w:rPr>
        <w:t>A patient’s prior history of substance abuse does not necessarily contraindicate appropriate pain management. However, treatment of patients with a history of substance abuse or with a comorbid psychiatric disorder may require extra care and communication with the patient, monitoring, documentation, and consultation with or referral to an expert in the management of such patients. The board strongly encourages a multidisciplinary approach for pain management of such patients that incorporates the expertise of other health care professionals.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Drug testing. </w:t>
      </w:r>
      <w:r>
        <w:rPr>
          <w:rFonts w:ascii="Times New Roman" w:hAnsi="Times New Roman"/>
          <w:b w:val="false"/>
          <w:i w:val="false"/>
          <w:color w:val="000000"/>
          <w:sz w:val="22"/>
        </w:rPr>
        <w:t>A physician who prescribes opioids to a patient for more than 90 days for the treatment of chronic pain should consider utilizing drug testing to ensure that the patient is receiving appropriate therapeutic levels of prescribed medications or if the physician has reason to believe that the patient is at risk of drug abuse or diversion.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Termination of care. </w:t>
      </w:r>
      <w:r>
        <w:rPr>
          <w:rFonts w:ascii="Times New Roman" w:hAnsi="Times New Roman"/>
          <w:b w:val="false"/>
          <w:i w:val="false"/>
          <w:color w:val="000000"/>
          <w:sz w:val="22"/>
        </w:rPr>
        <w:t>The physician should consider termination of patient care if there is evidence of noncompliance with the rules for medication use, drug diversion, or a repeated pattern of substance abuse.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655.2(7)</w:t>
      </w:r>
      <w:r>
        <w:rPr>
          <w:rFonts w:ascii="Times New Roman" w:hAnsi="Times New Roman"/>
          <w:b w:val="false"/>
          <w:i w:val="false"/>
          <w:color w:val="000000"/>
          <w:sz w:val="22"/>
        </w:rPr>
        <w:t> </w:t>
      </w:r>
      <w:r>
        <w:rPr>
          <w:rFonts w:ascii="Times New Roman" w:hAnsi="Times New Roman"/>
          <w:b w:val="false"/>
          <w:i/>
          <w:color w:val="000000"/>
          <w:sz w:val="22"/>
        </w:rPr>
        <w:t xml:space="preserve">Pain management for terminal illness. </w:t>
      </w:r>
      <w:r>
        <w:rPr>
          <w:rFonts w:ascii="Times New Roman" w:hAnsi="Times New Roman"/>
          <w:b w:val="false"/>
          <w:i w:val="false"/>
          <w:color w:val="000000"/>
          <w:sz w:val="22"/>
        </w:rPr>
        <w:t>The provisions of this subrule apply to patients who are at the stage in the progression of cancer or other terminal illness when the goal of pain management is comfort care. When the goal of treatment shifts to comfort care rather than cure of the underlying condition, the board recognizes that the dosage level of opioids to control pain may exceed dosages recommended for chronic pain and may come at the expense of patient function. The determination of such pain management should involve the patient, if possible, and others the patient has designated for assisting in end-of-life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655.2(8)</w:t>
      </w:r>
      <w:r>
        <w:rPr>
          <w:rFonts w:ascii="Times New Roman" w:hAnsi="Times New Roman"/>
          <w:b w:val="false"/>
          <w:i w:val="false"/>
          <w:color w:val="000000"/>
          <w:sz w:val="22"/>
        </w:rPr>
        <w:t> </w:t>
      </w:r>
      <w:r>
        <w:rPr>
          <w:rFonts w:ascii="Times New Roman" w:hAnsi="Times New Roman"/>
          <w:b w:val="false"/>
          <w:i/>
          <w:color w:val="000000"/>
          <w:sz w:val="22"/>
        </w:rPr>
        <w:t xml:space="preserve">Prescription monitoring program. </w:t>
      </w:r>
      <w:r>
        <w:rPr>
          <w:rFonts w:ascii="Times New Roman" w:hAnsi="Times New Roman"/>
          <w:b w:val="false"/>
          <w:i w:val="false"/>
          <w:color w:val="000000"/>
          <w:sz w:val="22"/>
        </w:rPr>
        <w:t xml:space="preserve">The board of pharmacy established a prescription monitoring program pursuant to Iowa Code sections </w:t>
      </w:r>
      <w:hyperlink r:id="rId7">
        <w:r>
          <w:rPr>
            <w:rStyle w:val="Hyperlink"/>
            <w:rFonts w:ascii="Times New Roman" w:hAnsi="Times New Roman"/>
            <w:b w:val="false"/>
            <w:i w:val="false"/>
            <w:color w:val="000000"/>
            <w:sz w:val="22"/>
          </w:rPr>
          <w:t>124.551</w:t>
        </w:r>
      </w:hyperlink>
      <w:r>
        <w:rPr>
          <w:rFonts w:ascii="Times New Roman" w:hAnsi="Times New Roman"/>
          <w:b w:val="false"/>
          <w:i w:val="false"/>
          <w:color w:val="000000"/>
          <w:sz w:val="22"/>
        </w:rPr>
        <w:t xml:space="preserve"> through </w:t>
      </w:r>
      <w:hyperlink r:id="rId8">
        <w:r>
          <w:rPr>
            <w:rStyle w:val="Hyperlink"/>
            <w:rFonts w:ascii="Times New Roman" w:hAnsi="Times New Roman"/>
            <w:b w:val="false"/>
            <w:i w:val="false"/>
            <w:color w:val="000000"/>
            <w:sz w:val="22"/>
          </w:rPr>
          <w:t>124.558</w:t>
        </w:r>
      </w:hyperlink>
      <w:r>
        <w:rPr>
          <w:rFonts w:ascii="Times New Roman" w:hAnsi="Times New Roman"/>
          <w:b w:val="false"/>
          <w:i w:val="false"/>
          <w:color w:val="000000"/>
          <w:sz w:val="22"/>
        </w:rPr>
        <w:t xml:space="preserve"> to help prescribers and pharmacists track controlled substance prescriptions. Physicians must register for this program when applying for or renewing their controlled substance prescribing registration. Before prescribing opioids, physicians or their agents must use the program to guide treatment decisions and enhance patient care quality. However, utilization is not required for patients in inpatient hospice care or long-term residential facilities. Orders in hospital settings are not considered prescriptions under these rules, as patient safety is managed within these settings.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655.2(9)</w:t>
      </w:r>
      <w:r>
        <w:rPr>
          <w:rFonts w:ascii="Times New Roman" w:hAnsi="Times New Roman"/>
          <w:b w:val="false"/>
          <w:i w:val="false"/>
          <w:color w:val="000000"/>
          <w:sz w:val="22"/>
        </w:rPr>
        <w:t> </w:t>
      </w:r>
      <w:r>
        <w:rPr>
          <w:rFonts w:ascii="Times New Roman" w:hAnsi="Times New Roman"/>
          <w:b w:val="false"/>
          <w:i/>
          <w:color w:val="000000"/>
          <w:sz w:val="22"/>
        </w:rPr>
        <w:t xml:space="preserve">Electronic prescriptions. </w:t>
      </w:r>
      <w:r>
        <w:rPr>
          <w:rFonts w:ascii="Times New Roman" w:hAnsi="Times New Roman"/>
          <w:b w:val="false"/>
          <w:i w:val="false"/>
          <w:color w:val="000000"/>
          <w:sz w:val="22"/>
        </w:rPr>
        <w:t xml:space="preserve">Beginning January 1, 2020, all prescriptions (controlled and noncontrolled substances) are to be transmitted electronically as electronic prescriptions pursuant to Iowa Code section </w:t>
      </w:r>
      <w:hyperlink r:id="rId9">
        <w:r>
          <w:rPr>
            <w:rStyle w:val="Hyperlink"/>
            <w:rFonts w:ascii="Times New Roman" w:hAnsi="Times New Roman"/>
            <w:b w:val="false"/>
            <w:i w:val="false"/>
            <w:color w:val="000000"/>
            <w:sz w:val="22"/>
          </w:rPr>
          <w:t>124.308</w:t>
        </w:r>
      </w:hyperlink>
      <w:r>
        <w:rPr>
          <w:rFonts w:ascii="Times New Roman" w:hAnsi="Times New Roman"/>
          <w:b w:val="false"/>
          <w:i w:val="false"/>
          <w:color w:val="000000"/>
          <w:sz w:val="22"/>
        </w:rPr>
        <w:t>. A prescription shall be transmitted to a pharmacy by the physician or the physician’s authorized agent in compliance with federal law and regulation for electronic prescriptions of controlled substances.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655.2(10)</w:t>
      </w:r>
      <w:r>
        <w:rPr>
          <w:rFonts w:ascii="Times New Roman" w:hAnsi="Times New Roman"/>
          <w:b w:val="false"/>
          <w:i w:val="false"/>
          <w:color w:val="000000"/>
          <w:sz w:val="22"/>
        </w:rPr>
        <w:t> </w:t>
      </w:r>
      <w:r>
        <w:rPr>
          <w:rFonts w:ascii="Times New Roman" w:hAnsi="Times New Roman"/>
          <w:b w:val="false"/>
          <w:i/>
          <w:color w:val="000000"/>
          <w:sz w:val="22"/>
        </w:rPr>
        <w:t xml:space="preserve">Pain management resources. </w:t>
      </w:r>
      <w:r>
        <w:rPr>
          <w:rFonts w:ascii="Times New Roman" w:hAnsi="Times New Roman"/>
          <w:b w:val="false"/>
          <w:i w:val="false"/>
          <w:color w:val="000000"/>
          <w:sz w:val="22"/>
        </w:rPr>
        <w:t>The board strongly recommends that physicians consult the following resources regarding the proper treatment of chronic pain. This list is provided for the convenience of licensees, and the publications included are not intended to be incorporated in the rule by reference.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American Academy of Hospice and Palliative Medicine or AAHPM is the American Medical Association-recognized specialty society of physicians who practice in hospice and palliative medicine in the United States. The mission of the AAHPM is to enhance the treatment of pain at the end of life.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American Academy of Pain Medicine or AAPM is the American Medical Association-recognized specialty society of physicians who practice pain medicine in the United States. The mission of the AAPM is to enhance pain medicine practice by promoting a climate conducive to the effective and efficient practice of pain medicine.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American Pain Society or APS is the national chapter of the International Association for the Study of Pain, an organization composed of physicians, nurses, psychologists, scientists and other professionals who have an interest in the study and treatment of pain. The mission of the APS is to serve people in pain by advancing research, education, treatment and professional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DEA Policy Statement: Dispensing Controlled Substances for the Treatment of Pain. On August 28, 2006, the Drug Enforcement Agency (DEA) issued a policy statement establishing guidelines for practitioners who dispense controlled substances for the treatment of pain. This policy statement may be helpful to practitioners who treat pain with controlled substances.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Interagency Guideline on Prescribing Opioids for Pain. Developed by the Washington State Agency Medical Directors’ Group in collaboration with an expert advisory panel, actively practicing providers and public stakeholders, the guideline focuses on evidence-based treatment for chronic-pain patients. The guideline was published in 2007 and updated in 2015.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Responsible Opioid Prescribing: A Physician’s Guide. In 2007, in collaboration with author Scott Fishman, M.D., the Federation of State Medical Boards’ (FSMB’s) Research and Education Foundation published a book on responsible opioid prescribing based on the FSMB Model Policy for the Use of Controlled Substances for the Treatment of Pain.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World Health Organization: Pain Relief Ladder. Cancer pain relief and palliative care. Technical report series 804. Geneva: World Health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CDC Guideline for Prescribing Opioids for Chronic Pain as referenced in paragraph </w:t>
      </w:r>
      <w:hyperlink r:id="rId10">
        <w:r>
          <w:rPr>
            <w:rStyle w:val="Hyperlink"/>
            <w:rFonts w:ascii="Times New Roman" w:hAnsi="Times New Roman"/>
            <w:b w:val="false"/>
            <w:i w:val="false"/>
            <w:color w:val="000000"/>
            <w:sz w:val="22"/>
          </w:rPr>
          <w:t>655.2(4)</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655.2(11)</w:t>
      </w:r>
      <w:r>
        <w:rPr>
          <w:rFonts w:ascii="Times New Roman" w:hAnsi="Times New Roman"/>
          <w:b w:val="false"/>
          <w:i w:val="false"/>
          <w:color w:val="000000"/>
          <w:sz w:val="22"/>
        </w:rPr>
        <w:t> </w:t>
      </w:r>
      <w:r>
        <w:rPr>
          <w:rFonts w:ascii="Times New Roman" w:hAnsi="Times New Roman"/>
          <w:b w:val="false"/>
          <w:i/>
          <w:color w:val="000000"/>
          <w:sz w:val="22"/>
        </w:rPr>
        <w:t xml:space="preserve">Grounds for discipline. </w:t>
      </w:r>
      <w:r>
        <w:rPr>
          <w:rFonts w:ascii="Times New Roman" w:hAnsi="Times New Roman"/>
          <w:b w:val="false"/>
          <w:i w:val="false"/>
          <w:color w:val="000000"/>
          <w:sz w:val="22"/>
        </w:rPr>
        <w:t xml:space="preserve">A physician may be subject to disciplinary action for violation of these rules, the rules found in </w:t>
      </w:r>
      <w:hyperlink r:id="rId11">
        <w:r>
          <w:rPr>
            <w:rStyle w:val="Hyperlink"/>
            <w:rFonts w:ascii="Times New Roman" w:hAnsi="Times New Roman"/>
            <w:b w:val="false"/>
            <w:i w:val="false"/>
            <w:color w:val="000000"/>
            <w:sz w:val="22"/>
          </w:rPr>
          <w:t>481—Chapter 661</w:t>
        </w:r>
      </w:hyperlink>
      <w:r>
        <w:rPr>
          <w:rFonts w:ascii="Times New Roman" w:hAnsi="Times New Roman"/>
          <w:b w:val="false"/>
          <w:i w:val="false"/>
          <w:color w:val="000000"/>
          <w:sz w:val="22"/>
        </w:rPr>
        <w:t>, or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physician who prescribes opioids in dosage amounts exceeding what would be prescribed by a reasonably prudent physician in the state of Iowa acting in the same or similar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physician who knowingly fails to comply with the confidentiality requirements of Iowa Code section </w:t>
      </w:r>
      <w:hyperlink r:id="rId12">
        <w:r>
          <w:rPr>
            <w:rStyle w:val="Hyperlink"/>
            <w:rFonts w:ascii="Times New Roman" w:hAnsi="Times New Roman"/>
            <w:b w:val="false"/>
            <w:i w:val="false"/>
            <w:color w:val="000000"/>
            <w:sz w:val="22"/>
          </w:rPr>
          <w:t>124.553</w:t>
        </w:r>
      </w:hyperlink>
      <w:r>
        <w:rPr>
          <w:rFonts w:ascii="Times New Roman" w:hAnsi="Times New Roman"/>
          <w:b w:val="false"/>
          <w:i w:val="false"/>
          <w:color w:val="000000"/>
          <w:sz w:val="22"/>
        </w:rPr>
        <w:t xml:space="preserve"> or who delegates program information access to another individual except as provided in Iowa Code section </w:t>
      </w:r>
      <w:hyperlink r:id="rId13">
        <w:r>
          <w:rPr>
            <w:rStyle w:val="Hyperlink"/>
            <w:rFonts w:ascii="Times New Roman" w:hAnsi="Times New Roman"/>
            <w:b w:val="false"/>
            <w:i w:val="false"/>
            <w:color w:val="000000"/>
            <w:sz w:val="22"/>
          </w:rPr>
          <w:t>124.553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physician who knowingly fails to comply with other requirements of Iowa Code chapter </w:t>
      </w:r>
      <w:hyperlink r:id="rId14">
        <w:r>
          <w:rPr>
            <w:rStyle w:val="Hyperlink"/>
            <w:rFonts w:ascii="Times New Roman" w:hAnsi="Times New Roman"/>
            <w:b w:val="false"/>
            <w:i w:val="false"/>
            <w:color w:val="000000"/>
            <w:sz w:val="22"/>
          </w:rPr>
          <w:t>124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655.2(12)</w:t>
      </w:r>
      <w:r>
        <w:rPr>
          <w:rFonts w:ascii="Times New Roman" w:hAnsi="Times New Roman"/>
          <w:b w:val="false"/>
          <w:i w:val="false"/>
          <w:color w:val="000000"/>
          <w:sz w:val="22"/>
        </w:rPr>
        <w:t> </w:t>
      </w:r>
      <w:r>
        <w:rPr>
          <w:rFonts w:ascii="Times New Roman" w:hAnsi="Times New Roman"/>
          <w:b w:val="false"/>
          <w:i/>
          <w:color w:val="000000"/>
          <w:sz w:val="22"/>
        </w:rPr>
        <w:t xml:space="preserve">Unlawful access, disclosure, or use of information. </w:t>
      </w:r>
      <w:r>
        <w:rPr>
          <w:rFonts w:ascii="Times New Roman" w:hAnsi="Times New Roman"/>
          <w:b w:val="false"/>
          <w:i w:val="false"/>
          <w:color w:val="000000"/>
          <w:sz w:val="22"/>
        </w:rPr>
        <w:t xml:space="preserve">A person who intentionally or knowingly accesses, uses, or discloses information from the prescription monitoring program in violation of Iowa Code section </w:t>
      </w:r>
      <w:hyperlink r:id="rId15">
        <w:r>
          <w:rPr>
            <w:rStyle w:val="Hyperlink"/>
            <w:rFonts w:ascii="Times New Roman" w:hAnsi="Times New Roman"/>
            <w:b w:val="false"/>
            <w:i w:val="false"/>
            <w:color w:val="000000"/>
            <w:sz w:val="22"/>
          </w:rPr>
          <w:t>124.553</w:t>
        </w:r>
      </w:hyperlink>
      <w:r>
        <w:rPr>
          <w:rFonts w:ascii="Times New Roman" w:hAnsi="Times New Roman"/>
          <w:b w:val="false"/>
          <w:i w:val="false"/>
          <w:color w:val="000000"/>
          <w:sz w:val="22"/>
        </w:rPr>
        <w:t xml:space="preserve">, unless otherwise authorized by law, is guilty of a class “D” felony. This subrule shall not preclude a physician who requests and receives information from the prescription monitoring program consistent with the requirements of Iowa Code section </w:t>
      </w:r>
      <w:hyperlink r:id="rId16">
        <w:r>
          <w:rPr>
            <w:rStyle w:val="Hyperlink"/>
            <w:rFonts w:ascii="Times New Roman" w:hAnsi="Times New Roman"/>
            <w:b w:val="false"/>
            <w:i w:val="false"/>
            <w:color w:val="000000"/>
            <w:sz w:val="22"/>
          </w:rPr>
          <w:t>124.553</w:t>
        </w:r>
      </w:hyperlink>
      <w:r>
        <w:rPr>
          <w:rFonts w:ascii="Times New Roman" w:hAnsi="Times New Roman"/>
          <w:b w:val="false"/>
          <w:i w:val="false"/>
          <w:color w:val="000000"/>
          <w:sz w:val="22"/>
        </w:rPr>
        <w:t xml:space="preserve"> from otherwise lawfully providing that information to any other person for medical care purposes.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9115C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481—655.3</w:t>
      </w:r>
      <w:r>
        <w:rPr>
          <w:rFonts w:ascii="Times New Roman" w:hAnsi="Times New Roman"/>
          <w:b/>
          <w:i w:val="false"/>
          <w:color w:val="000000"/>
          <w:sz w:val="22"/>
        </w:rPr>
        <w:t xml:space="preserve">(147,148) </w:t>
      </w:r>
      <w:r>
        <w:rPr>
          <w:rFonts w:ascii="Times New Roman" w:hAnsi="Times New Roman"/>
          <w:b/>
          <w:i w:val="false"/>
          <w:color w:val="000000"/>
          <w:sz w:val="22"/>
        </w:rPr>
        <w:t xml:space="preserve">Standards of practice—chelation therapy. </w:t>
      </w:r>
      <w:r>
        <w:rPr>
          <w:rFonts w:ascii="Times New Roman" w:hAnsi="Times New Roman"/>
          <w:b w:val="false"/>
          <w:i w:val="false"/>
          <w:color w:val="000000"/>
          <w:sz w:val="22"/>
        </w:rPr>
        <w:t>Chelation therapy or disodium ethylene diamine tetra acetic acid (EDTA) may only be used for the treatment of heavy metal poisoning or in the clinical setting when a licensee experienced in clinical investigations conducts a carefully controlled clinical investigation of its effectiveness in treating other diseases or medical conditions under a research protocol that has been approved by an institutional review board of the University of Iowa or Des Moines University—Osteopathic Medical Center.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9115C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481—655.4</w:t>
      </w:r>
      <w:r>
        <w:rPr>
          <w:rFonts w:ascii="Times New Roman" w:hAnsi="Times New Roman"/>
          <w:b/>
          <w:i w:val="false"/>
          <w:color w:val="000000"/>
          <w:sz w:val="22"/>
        </w:rPr>
        <w:t xml:space="preserve">(79GA,HF726) </w:t>
      </w:r>
      <w:r>
        <w:rPr>
          <w:rFonts w:ascii="Times New Roman" w:hAnsi="Times New Roman"/>
          <w:b/>
          <w:i w:val="false"/>
          <w:color w:val="000000"/>
          <w:sz w:val="22"/>
        </w:rPr>
        <w:t xml:space="preserve">Standards of practice—automated dispensing systems. </w:t>
      </w:r>
      <w:r>
        <w:rPr>
          <w:rFonts w:ascii="Times New Roman" w:hAnsi="Times New Roman"/>
          <w:b w:val="false"/>
          <w:i w:val="false"/>
          <w:color w:val="000000"/>
          <w:sz w:val="22"/>
        </w:rPr>
        <w:t>A physician who dispenses prescription drugs via an automated dispensing system or a dispensing system that employs technology may delegate nonjudgmental dispensing functions to staff assistants in the absence of a pharmacist or physician provided that the physician utilizes an internal quality control assurance plan that ensures that the medication dispensed is the medication that was prescribed. The physician must be physically present to determine the accuracy and completeness of any medication that is reconstituted prior to dispensing.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655.4(1)</w:t>
      </w:r>
      <w:r>
        <w:rPr>
          <w:rFonts w:ascii="Times New Roman" w:hAnsi="Times New Roman"/>
          <w:b w:val="false"/>
          <w:i w:val="false"/>
          <w:color w:val="000000"/>
          <w:sz w:val="22"/>
        </w:rPr>
        <w:t> </w:t>
      </w:r>
      <w:r>
        <w:rPr>
          <w:rFonts w:ascii="Times New Roman" w:hAnsi="Times New Roman"/>
          <w:b w:val="false"/>
          <w:i w:val="false"/>
          <w:color w:val="000000"/>
          <w:sz w:val="22"/>
        </w:rPr>
        <w:t>An internal quality control assurance plan shall include the following elements: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of the physician responsible for the plan and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Methods that the dispensing system employs to ensure the accuracy of the patient’s name and medication, dosage, directions and amount of medication prescribed;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Standards that the physician expects to be met to ensure the accuracy of the dispensing system and the training and qualifications of staff members assigned to dispense via the dispensing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procedures utilized to ensure that the physician(s) dispensing via the automated system provide(s) patients counseling regarding the prescription drugs being dispensed;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Staff training and qualifications for dispensing via the dispensing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list of staff members who meet the qualifications and who are assigned to dispense via the dispensing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plan for testing the dispensing system and each staff member assigned to dispense via the dispensing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results of testing that show compliance with the standards prior to implementation of the dispensing system and prior to approval of each staff member to dispense via the dispensing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 plan for interval testing of the accuracy of dispensing, at least annually;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 plan for addressing inaccuracies, including discontinuing dispensing until the accuracy level can be reattained.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655.4(2)</w:t>
      </w:r>
      <w:r>
        <w:rPr>
          <w:rFonts w:ascii="Times New Roman" w:hAnsi="Times New Roman"/>
          <w:b w:val="false"/>
          <w:i w:val="false"/>
          <w:color w:val="000000"/>
          <w:sz w:val="22"/>
        </w:rPr>
        <w:t> </w:t>
      </w:r>
      <w:r>
        <w:rPr>
          <w:rFonts w:ascii="Times New Roman" w:hAnsi="Times New Roman"/>
          <w:b w:val="false"/>
          <w:i w:val="false"/>
          <w:color w:val="000000"/>
          <w:sz w:val="22"/>
        </w:rPr>
        <w:t>Those dispensing systems already in place shall show evidence of a plan and testing within two months of August 31, 2001.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655.4(3)</w:t>
      </w:r>
      <w:r>
        <w:rPr>
          <w:rFonts w:ascii="Times New Roman" w:hAnsi="Times New Roman"/>
          <w:b w:val="false"/>
          <w:i w:val="false"/>
          <w:color w:val="000000"/>
          <w:sz w:val="22"/>
        </w:rPr>
        <w:t> </w:t>
      </w:r>
      <w:r>
        <w:rPr>
          <w:rFonts w:ascii="Times New Roman" w:hAnsi="Times New Roman"/>
          <w:b w:val="false"/>
          <w:i w:val="false"/>
          <w:color w:val="000000"/>
          <w:sz w:val="22"/>
        </w:rPr>
        <w:t>The internal quality control assurance plan shall be submitted to the board of medicine upon request.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9115C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481—655.5</w:t>
      </w:r>
      <w:r>
        <w:rPr>
          <w:rFonts w:ascii="Times New Roman" w:hAnsi="Times New Roman"/>
          <w:b/>
          <w:i w:val="false"/>
          <w:color w:val="000000"/>
          <w:sz w:val="22"/>
        </w:rPr>
        <w:t xml:space="preserve">(147,148,272C) </w:t>
      </w:r>
      <w:r>
        <w:rPr>
          <w:rFonts w:ascii="Times New Roman" w:hAnsi="Times New Roman"/>
          <w:b/>
          <w:i w:val="false"/>
          <w:color w:val="000000"/>
          <w:sz w:val="22"/>
        </w:rPr>
        <w:t xml:space="preserve">Standards of practice—office practices.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655.5(1)</w:t>
      </w:r>
      <w:r>
        <w:rPr>
          <w:rFonts w:ascii="Times New Roman" w:hAnsi="Times New Roman"/>
          <w:b w:val="false"/>
          <w:i w:val="false"/>
          <w:color w:val="000000"/>
          <w:sz w:val="22"/>
        </w:rPr>
        <w:t> </w:t>
      </w:r>
      <w:r>
        <w:rPr>
          <w:rFonts w:ascii="Times New Roman" w:hAnsi="Times New Roman"/>
          <w:b w:val="false"/>
          <w:i/>
          <w:color w:val="000000"/>
          <w:sz w:val="22"/>
        </w:rPr>
        <w:t xml:space="preserve">Termination of the physician-patient relationship. </w:t>
      </w:r>
      <w:r>
        <w:rPr>
          <w:rFonts w:ascii="Times New Roman" w:hAnsi="Times New Roman"/>
          <w:b w:val="false"/>
          <w:i w:val="false"/>
          <w:color w:val="000000"/>
          <w:sz w:val="22"/>
        </w:rPr>
        <w:t>A physician may choose whom to serve. Having undertaken the care of a patient, the physician may not neglect the patient. A physician must provide a patient written notice of the termination of the physician-patient relationship. A physician shall ensure that emergency medical care is available to the patient during the 30-day period following notice of the termination of the physician-patient relationship.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655.5(2)</w:t>
      </w:r>
      <w:r>
        <w:rPr>
          <w:rFonts w:ascii="Times New Roman" w:hAnsi="Times New Roman"/>
          <w:b w:val="false"/>
          <w:i w:val="false"/>
          <w:color w:val="000000"/>
          <w:sz w:val="22"/>
        </w:rPr>
        <w:t> </w:t>
      </w:r>
      <w:r>
        <w:rPr>
          <w:rFonts w:ascii="Times New Roman" w:hAnsi="Times New Roman"/>
          <w:b w:val="false"/>
          <w:i/>
          <w:color w:val="000000"/>
          <w:sz w:val="22"/>
        </w:rPr>
        <w:t xml:space="preserve">Patient referrals. </w:t>
      </w:r>
      <w:r>
        <w:rPr>
          <w:rFonts w:ascii="Times New Roman" w:hAnsi="Times New Roman"/>
          <w:b w:val="false"/>
          <w:i w:val="false"/>
          <w:color w:val="000000"/>
          <w:sz w:val="22"/>
        </w:rPr>
        <w:t>A physician shall not pay or receive compensation for patient referrals.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655.5(3)</w:t>
      </w:r>
      <w:r>
        <w:rPr>
          <w:rFonts w:ascii="Times New Roman" w:hAnsi="Times New Roman"/>
          <w:b w:val="false"/>
          <w:i w:val="false"/>
          <w:color w:val="000000"/>
          <w:sz w:val="22"/>
        </w:rPr>
        <w:t> </w:t>
      </w:r>
      <w:r>
        <w:rPr>
          <w:rFonts w:ascii="Times New Roman" w:hAnsi="Times New Roman"/>
          <w:b w:val="false"/>
          <w:i/>
          <w:color w:val="000000"/>
          <w:sz w:val="22"/>
        </w:rPr>
        <w:t xml:space="preserve">Confidentiality. </w:t>
      </w:r>
      <w:r>
        <w:rPr>
          <w:rFonts w:ascii="Times New Roman" w:hAnsi="Times New Roman"/>
          <w:b w:val="false"/>
          <w:i w:val="false"/>
          <w:color w:val="000000"/>
          <w:sz w:val="22"/>
        </w:rPr>
        <w:t>A physician shall maintain the confidentiality of all patient information obtained in the practice of medicine. Information shall be divulged by the physician when authorized by law or the patient or when required for patient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655.5(4)</w:t>
      </w:r>
      <w:r>
        <w:rPr>
          <w:rFonts w:ascii="Times New Roman" w:hAnsi="Times New Roman"/>
          <w:b w:val="false"/>
          <w:i w:val="false"/>
          <w:color w:val="000000"/>
          <w:sz w:val="22"/>
        </w:rPr>
        <w:t> </w:t>
      </w:r>
      <w:r>
        <w:rPr>
          <w:rFonts w:ascii="Times New Roman" w:hAnsi="Times New Roman"/>
          <w:b w:val="false"/>
          <w:i/>
          <w:color w:val="000000"/>
          <w:sz w:val="22"/>
        </w:rPr>
        <w:t xml:space="preserve">Sexual conduct. </w:t>
      </w:r>
      <w:r>
        <w:rPr>
          <w:rFonts w:ascii="Times New Roman" w:hAnsi="Times New Roman"/>
          <w:b w:val="false"/>
          <w:i w:val="false"/>
          <w:color w:val="000000"/>
          <w:sz w:val="22"/>
        </w:rPr>
        <w:t>It is unprofessional and unethical conduct, and is grounds for disciplinary action, for a physician to engage in conduct that violates the following prohibitions: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the course of providing medical care, a physician shall not engage in contact, touching, or comments of a sexual nature with a patient, or with the patient’s parent or guardian if the patient is a minor or under a guardianship.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physician shall not engage in any sexual conduct with a patient when that conduct occurs concurrent with the physician-patient relationship, regardless of whether the patient consents to that conduct.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physician shall not engage in any sexual conduct with a former patient unless the physician-patient relationship was completely terminated before the sexual conduct occurred. In considering whether that relationship was completely terminated, the board will consider the duration of the physician-patient relationship, the nature of the medical services provided, the lapse of time since the physician-patient relationship ended, the degree of dependence in the physician-patient relationship, and the extent to which the physician used or exploited the trust, knowledge, emotions, or influence derived from the physician-patient relationship.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psychiatrist, or a physician who provides mental health counseling to a patient, shall never engage in any sexual conduct with a current or former patient, or with that patient’s parent or guardian if the patient was a minor or under guardianship, regardless of whether the patient consents to that conduct.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655.5(5)</w:t>
      </w:r>
      <w:r>
        <w:rPr>
          <w:rFonts w:ascii="Times New Roman" w:hAnsi="Times New Roman"/>
          <w:b w:val="false"/>
          <w:i w:val="false"/>
          <w:color w:val="000000"/>
          <w:sz w:val="22"/>
        </w:rPr>
        <w:t> </w:t>
      </w:r>
      <w:r>
        <w:rPr>
          <w:rFonts w:ascii="Times New Roman" w:hAnsi="Times New Roman"/>
          <w:b w:val="false"/>
          <w:i/>
          <w:color w:val="000000"/>
          <w:sz w:val="22"/>
        </w:rPr>
        <w:t xml:space="preserve">Disruptive behavior. </w:t>
      </w:r>
      <w:r>
        <w:rPr>
          <w:rFonts w:ascii="Times New Roman" w:hAnsi="Times New Roman"/>
          <w:b w:val="false"/>
          <w:i w:val="false"/>
          <w:color w:val="000000"/>
          <w:sz w:val="22"/>
        </w:rPr>
        <w:t>A physician shall not engage in disruptive behavior. Disruptive behavior is defined as a pattern of contentious, threatening, or intractable behavior that interferes with, or has the potential to interfere with, patient care or the effective functioning of health care staff.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655.5(6)</w:t>
      </w:r>
      <w:r>
        <w:rPr>
          <w:rFonts w:ascii="Times New Roman" w:hAnsi="Times New Roman"/>
          <w:b w:val="false"/>
          <w:i w:val="false"/>
          <w:color w:val="000000"/>
          <w:sz w:val="22"/>
        </w:rPr>
        <w:t> </w:t>
      </w:r>
      <w:r>
        <w:rPr>
          <w:rFonts w:ascii="Times New Roman" w:hAnsi="Times New Roman"/>
          <w:b w:val="false"/>
          <w:i/>
          <w:color w:val="000000"/>
          <w:sz w:val="22"/>
        </w:rPr>
        <w:t xml:space="preserve">Sexual harassment. </w:t>
      </w:r>
      <w:r>
        <w:rPr>
          <w:rFonts w:ascii="Times New Roman" w:hAnsi="Times New Roman"/>
          <w:b w:val="false"/>
          <w:i w:val="false"/>
          <w:color w:val="000000"/>
          <w:sz w:val="22"/>
        </w:rPr>
        <w:t>A physician shall not engage in sexual harassment. Sexual harassment is defined as verbal or physical conduct of a sexual nature that interferes with another health care worker’s performance or creates an intimidating, hostile or offensive work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655.5(7)</w:t>
      </w:r>
      <w:r>
        <w:rPr>
          <w:rFonts w:ascii="Times New Roman" w:hAnsi="Times New Roman"/>
          <w:b w:val="false"/>
          <w:i w:val="false"/>
          <w:color w:val="000000"/>
          <w:sz w:val="22"/>
        </w:rPr>
        <w:t> </w:t>
      </w:r>
      <w:r>
        <w:rPr>
          <w:rFonts w:ascii="Times New Roman" w:hAnsi="Times New Roman"/>
          <w:b w:val="false"/>
          <w:i/>
          <w:color w:val="000000"/>
          <w:sz w:val="22"/>
        </w:rPr>
        <w:t xml:space="preserve">Transfer of medical records. </w:t>
      </w:r>
      <w:r>
        <w:rPr>
          <w:rFonts w:ascii="Times New Roman" w:hAnsi="Times New Roman"/>
          <w:b w:val="false"/>
          <w:i w:val="false"/>
          <w:color w:val="000000"/>
          <w:sz w:val="22"/>
        </w:rPr>
        <w:t>A physician must provide a copy of all medical records generated by the physician in a timely manner to the patient or another physician designated by the patient, upon written request when legally requested to do so by the subject patient or by a legally designated representative of the subject patient, except as otherwise required or permitted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655.5(8)</w:t>
      </w:r>
      <w:r>
        <w:rPr>
          <w:rFonts w:ascii="Times New Roman" w:hAnsi="Times New Roman"/>
          <w:b w:val="false"/>
          <w:i w:val="false"/>
          <w:color w:val="000000"/>
          <w:sz w:val="22"/>
        </w:rPr>
        <w:t> </w:t>
      </w:r>
      <w:r>
        <w:rPr>
          <w:rFonts w:ascii="Times New Roman" w:hAnsi="Times New Roman"/>
          <w:b w:val="false"/>
          <w:i/>
          <w:color w:val="000000"/>
          <w:sz w:val="22"/>
        </w:rPr>
        <w:t xml:space="preserve">Retention of medical records.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physician shall retain all medical records, not appropriately transferred to another physician or entity, for at least seven years from the last date of service for each patient, except as otherwise required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physician must retain all medical records of minor patients, not appropriately transferred to another physician or entity, for a period consistent with that established by Iowa Code section </w:t>
      </w:r>
      <w:hyperlink r:id="rId17">
        <w:r>
          <w:rPr>
            <w:rStyle w:val="Hyperlink"/>
            <w:rFonts w:ascii="Times New Roman" w:hAnsi="Times New Roman"/>
            <w:b w:val="false"/>
            <w:i w:val="false"/>
            <w:color w:val="000000"/>
            <w:sz w:val="22"/>
          </w:rPr>
          <w:t>614.8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Beginning July 1, 2023, a physician must appoint another Iowa-licensed physician, or other representative or entity that is held to the same standards of confidentiality as the physician, to ensure that all requirements of this subrule are met in the event of the physician’s death or incapacitation. Upon request by the board, the physician must be able to establish by sufficient proof the appointment of a representative pursuant to this 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Upon a physician’s death or retirement, the sale of a medical practice, or a physician’s departure from the physician’s medical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physician or the physician’s representative must ensure that all medical records are transferred to another physician or entity that is held to the same standards of confidentiality and agrees to act as custodian of the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physician or the physician’s representative shall notify all active patients that their records will be transferred to another physician or entity that will retain custody of their records and that, at their written request, the records will be sent to the physician or entity of the patient’s choice.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9115C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481—655.6</w:t>
      </w:r>
      <w:r>
        <w:rPr>
          <w:rFonts w:ascii="Times New Roman" w:hAnsi="Times New Roman"/>
          <w:b/>
          <w:i w:val="false"/>
          <w:color w:val="000000"/>
          <w:sz w:val="22"/>
        </w:rPr>
        <w:t xml:space="preserve">(148,272C) </w:t>
      </w:r>
      <w:r>
        <w:rPr>
          <w:rFonts w:ascii="Times New Roman" w:hAnsi="Times New Roman"/>
          <w:b/>
          <w:i w:val="false"/>
          <w:color w:val="000000"/>
          <w:sz w:val="22"/>
        </w:rPr>
        <w:t xml:space="preserve">Standards of practice—medical directors at medical spas—delegation and supervision of medical aesthetic services performed by qualified licensed or certified nonphysician persons or qualified laser technicians. </w:t>
      </w:r>
      <w:r>
        <w:rPr>
          <w:rFonts w:ascii="Times New Roman" w:hAnsi="Times New Roman"/>
          <w:b w:val="false"/>
          <w:i w:val="false"/>
          <w:color w:val="000000"/>
          <w:sz w:val="22"/>
        </w:rPr>
        <w:t>This rule establishes standards of practice for a physician or surgeon or osteopathic physician or surgeon who serves as a medical director at a medical spa. This rule does not apply to the standards of practice for a nonphysician licensed health professional who serves as a medical director at a medical spa pursuant to the rules of the professional’s licensing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655.6(1)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As used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“Alter” </w:t>
      </w:r>
      <w:r>
        <w:rPr>
          <w:rFonts w:ascii="Times New Roman" w:hAnsi="Times New Roman"/>
          <w:b w:val="false"/>
          <w:i w:val="false"/>
          <w:color w:val="000000"/>
          <w:sz w:val="22"/>
        </w:rPr>
        <w:t>means to change the cellular structure of living tissue.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“Capable of” </w:t>
      </w:r>
      <w:r>
        <w:rPr>
          <w:rFonts w:ascii="Times New Roman" w:hAnsi="Times New Roman"/>
          <w:b w:val="false"/>
          <w:i w:val="false"/>
          <w:color w:val="000000"/>
          <w:sz w:val="22"/>
        </w:rPr>
        <w:t>means any means, method, device or instrument that, if used as intended or otherwise to its greatest strength, has the potential to alter or damage living tissue below the superficial epidermal cells.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“Damage” </w:t>
      </w:r>
      <w:r>
        <w:rPr>
          <w:rFonts w:ascii="Times New Roman" w:hAnsi="Times New Roman"/>
          <w:b w:val="false"/>
          <w:i w:val="false"/>
          <w:color w:val="000000"/>
          <w:sz w:val="22"/>
        </w:rPr>
        <w:t>means to cause a harmful change in the cellular structure of living tissue.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“Delegate” </w:t>
      </w:r>
      <w:r>
        <w:rPr>
          <w:rFonts w:ascii="Times New Roman" w:hAnsi="Times New Roman"/>
          <w:b w:val="false"/>
          <w:i w:val="false"/>
          <w:color w:val="000000"/>
          <w:sz w:val="22"/>
        </w:rPr>
        <w:t>means to entrust or transfer the performance of a medical aesthetic service to qualified licensed or certified nonphysician persons or qualified laser technicians.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“Medical aesthetic service” </w:t>
      </w:r>
      <w:r>
        <w:rPr>
          <w:rFonts w:ascii="Times New Roman" w:hAnsi="Times New Roman"/>
          <w:b w:val="false"/>
          <w:i w:val="false"/>
          <w:color w:val="000000"/>
          <w:sz w:val="22"/>
        </w:rPr>
        <w:t>means the diagnosis, treatment, or correction of human conditions, ailments, diseases, injuries, or infirmities of the skin, hair, nails and mucous membranes by any means, methods, devices, or instruments including the use of a biological or synthetic material, chemical application, mechanical device, or displaced energy form of any kind if it alters or damages or is capable of altering or damaging living tissue below the superficial epidermal cells, with the exception of hair removal. Medical aesthetic service includes, but is not limited to, the following services: ablative laser therapy; vaporizing laser therapy; nonsuperficial light device therapy; injectables; tissue alteration services; nonsuperficial light-emitting diode therapy; nonsuperficial intense pulse light therapy; nonsuperficial radiofrequency therapy; nonsuperficial ultrasonic therapy; nonsuperficial exfoliation; nonsuperficial microdermabrasion; nonsuperficial dermaplane exfoliation; nonsuperficial lymphatic drainage; collagen induction therapy (microneedling); fat-freezing treatment (cool sculpting); botox injections; collagen injections; and tattoo removal.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“Medical director” </w:t>
      </w:r>
      <w:r>
        <w:rPr>
          <w:rFonts w:ascii="Times New Roman" w:hAnsi="Times New Roman"/>
          <w:b w:val="false"/>
          <w:i w:val="false"/>
          <w:color w:val="000000"/>
          <w:sz w:val="22"/>
        </w:rPr>
        <w:t>means a physician who assumes the role of, or holds oneself out as, medical director at a medical spa. The medical director is responsible for implementing policies and procedures to ensure quality patient care and for the delegation and supervision of medical aesthetic services performed by qualified licensed or certified nonphysician persons or qualified laser technicians at a medical spa. The medical director is ultimately responsible for all medical aesthetic services performed by qualified licensed or certified nonphysician persons or qualified laser technicians at a medical spa.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“Medical spa” </w:t>
      </w:r>
      <w:r>
        <w:rPr>
          <w:rFonts w:ascii="Times New Roman" w:hAnsi="Times New Roman"/>
          <w:b w:val="false"/>
          <w:i w:val="false"/>
          <w:color w:val="000000"/>
          <w:sz w:val="22"/>
        </w:rPr>
        <w:t>means any entity, however organized, that is advertised, announced, established, or maintained for the purpose of providing medical aesthetic services. Medical spa shall not include a dermatology practice that is wholly owned and controlled by one or more Iowa-licensed physicians if at least one of the owners is actively practicing at each 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“Nonsuperficial” </w:t>
      </w:r>
      <w:r>
        <w:rPr>
          <w:rFonts w:ascii="Times New Roman" w:hAnsi="Times New Roman"/>
          <w:b w:val="false"/>
          <w:i w:val="false"/>
          <w:color w:val="000000"/>
          <w:sz w:val="22"/>
        </w:rPr>
        <w:t>means that the therapy alters or damages or is capable of altering or damaging living tissue below the superficial epidermal cells.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“Qualified laser technician” </w:t>
      </w:r>
      <w:r>
        <w:rPr>
          <w:rFonts w:ascii="Times New Roman" w:hAnsi="Times New Roman"/>
          <w:b w:val="false"/>
          <w:i w:val="false"/>
          <w:color w:val="000000"/>
          <w:sz w:val="22"/>
        </w:rPr>
        <w:t>means any person, licensed or unlicensed, who has successfully completed a minimum of 120 hours of training, including a minimum of 40 hours of didactic study and 80 hours of clinical training, in the safe and effective use of lasers in the performance of medical aesthetic services at an accredited laser training program. For the purposes of this rule, a qualified laser technician may only use lasers in the performance of delegated medical aesthetic services under the supervision of a qualified supervising physician at a medical spa. An unlicensed qualified laser technician may not perform any other medical aesthetic services defined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“Qualified licensed or certified nonphysician person” </w:t>
      </w:r>
      <w:r>
        <w:rPr>
          <w:rFonts w:ascii="Times New Roman" w:hAnsi="Times New Roman"/>
          <w:b w:val="false"/>
          <w:i w:val="false"/>
          <w:color w:val="000000"/>
          <w:sz w:val="22"/>
        </w:rPr>
        <w:t>means any person who is not licensed to practice medicine and surgery or osteopathic medicine and surgery but who is licensed or certified by another health- or skin care-related licensing board in Iowa and is qualified to perform delegated medical aesthetic services under the supervision of a qualified supervising physician at a medical spa.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“Supervision” </w:t>
      </w:r>
      <w:r>
        <w:rPr>
          <w:rFonts w:ascii="Times New Roman" w:hAnsi="Times New Roman"/>
          <w:b w:val="false"/>
          <w:i w:val="false"/>
          <w:color w:val="000000"/>
          <w:sz w:val="22"/>
        </w:rPr>
        <w:t>means the oversight of qualified licensed or certified nonphysician persons or qualified laser technicians who perform medical aesthetic services delegated by a medical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655.6(2)</w:t>
      </w:r>
      <w:r>
        <w:rPr>
          <w:rFonts w:ascii="Times New Roman" w:hAnsi="Times New Roman"/>
          <w:b w:val="false"/>
          <w:i w:val="false"/>
          <w:color w:val="000000"/>
          <w:sz w:val="22"/>
        </w:rPr>
        <w:t> </w:t>
      </w:r>
      <w:r>
        <w:rPr>
          <w:rFonts w:ascii="Times New Roman" w:hAnsi="Times New Roman"/>
          <w:b w:val="false"/>
          <w:i/>
          <w:color w:val="000000"/>
          <w:sz w:val="22"/>
        </w:rPr>
        <w:t xml:space="preserve">Delegation by a medical director. </w:t>
      </w:r>
      <w:r>
        <w:rPr>
          <w:rFonts w:ascii="Times New Roman" w:hAnsi="Times New Roman"/>
          <w:b w:val="false"/>
          <w:i w:val="false"/>
          <w:color w:val="000000"/>
          <w:sz w:val="22"/>
        </w:rPr>
        <w:t>A medical aesthetic service shall only be performed by qualified licensed or certified nonphysician persons or qualified laser technicians if the service has been delegated by a medical director who is responsible for supervision of the services performed at a medical spa in Iowa. Nothing in this rule shall be interpreted to prevent a qualified nonphysician licensed health professional from serving as a medical director at a medical spa or from appropriately delegating medical aesthetic services pursuant to the rules of the professional’s licensing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655.6(3)</w:t>
      </w:r>
      <w:r>
        <w:rPr>
          <w:rFonts w:ascii="Times New Roman" w:hAnsi="Times New Roman"/>
          <w:b w:val="false"/>
          <w:i w:val="false"/>
          <w:color w:val="000000"/>
          <w:sz w:val="22"/>
        </w:rPr>
        <w:t> </w:t>
      </w:r>
      <w:r>
        <w:rPr>
          <w:rFonts w:ascii="Times New Roman" w:hAnsi="Times New Roman"/>
          <w:b w:val="false"/>
          <w:i/>
          <w:color w:val="000000"/>
          <w:sz w:val="22"/>
        </w:rPr>
        <w:t xml:space="preserve">Medical director. </w:t>
      </w:r>
      <w:r>
        <w:rPr>
          <w:rFonts w:ascii="Times New Roman" w:hAnsi="Times New Roman"/>
          <w:b w:val="false"/>
          <w:i w:val="false"/>
          <w:color w:val="000000"/>
          <w:sz w:val="22"/>
        </w:rPr>
        <w:t>A medical director at a medical spa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Hold an active unrestricted Iowa medical license to supervise each delegated medical aesthetic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Possess the appropriate education, training, experience and competence to safely supervise each delegated medical aesthetic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Retain responsibility for the supervision of each medical aesthetic service performed by qualified licensed or certified nonphysician persons or qualified laser technicians;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Ensure that advertising activities do not include false, misleading, or deceptive representations;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Be clearly identified as the medical director in all advertising activities, Internet websites and signage related to the medical spa.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655.6(4)</w:t>
      </w:r>
      <w:r>
        <w:rPr>
          <w:rFonts w:ascii="Times New Roman" w:hAnsi="Times New Roman"/>
          <w:b w:val="false"/>
          <w:i w:val="false"/>
          <w:color w:val="000000"/>
          <w:sz w:val="22"/>
        </w:rPr>
        <w:t> </w:t>
      </w:r>
      <w:r>
        <w:rPr>
          <w:rFonts w:ascii="Times New Roman" w:hAnsi="Times New Roman"/>
          <w:b w:val="false"/>
          <w:i/>
          <w:color w:val="000000"/>
          <w:sz w:val="22"/>
        </w:rPr>
        <w:t xml:space="preserve">Delegated medical aesthetic service. </w:t>
      </w:r>
      <w:r>
        <w:rPr>
          <w:rFonts w:ascii="Times New Roman" w:hAnsi="Times New Roman"/>
          <w:b w:val="false"/>
          <w:i w:val="false"/>
          <w:color w:val="000000"/>
          <w:sz w:val="22"/>
        </w:rPr>
        <w:t>When a medical director delegates a medical aesthetic service to qualified licensed or certified nonphysician persons or qualified laser technicians, the service shall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Within the medical director’s scope of practice and medical competence to supervise;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Of the type that a reasonable and prudent physician would conclude is within the scope of sound medical judgment to delegate;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routine and technical service, the performance of which does not require the skill of a licensed physician.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655.6(5)</w:t>
      </w:r>
      <w:r>
        <w:rPr>
          <w:rFonts w:ascii="Times New Roman" w:hAnsi="Times New Roman"/>
          <w:b w:val="false"/>
          <w:i w:val="false"/>
          <w:color w:val="000000"/>
          <w:sz w:val="22"/>
        </w:rPr>
        <w:t> </w:t>
      </w:r>
      <w:r>
        <w:rPr>
          <w:rFonts w:ascii="Times New Roman" w:hAnsi="Times New Roman"/>
          <w:b w:val="false"/>
          <w:i/>
          <w:color w:val="000000"/>
          <w:sz w:val="22"/>
        </w:rPr>
        <w:t xml:space="preserve">Supervision. </w:t>
      </w:r>
      <w:r>
        <w:rPr>
          <w:rFonts w:ascii="Times New Roman" w:hAnsi="Times New Roman"/>
          <w:b w:val="false"/>
          <w:i w:val="false"/>
          <w:color w:val="000000"/>
          <w:sz w:val="22"/>
        </w:rPr>
        <w:t>A medical director who delegates performance of a medical aesthetic service to qualified licensed or certified nonphysician persons or qualified laser technicians is responsible for providing appropriate supervision. The medical director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Ensure that all licensed or certified nonphysician persons or qualified laser technicians are qualified and competent to safely perform each delegated medical aesthetic service by personally assessing the person’s education, training, experience and 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Ensure that a qualified licensed or certified nonphysician person does not perform any medical aesthetic services that are beyond the scope of that person’s license or certification unless the person is supervised by a qualified supervising physician or other qualified supervising nonphysician licensed health professional;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Ensure that all qualified licensed or certified nonphysician persons or qualified laser technicians receive direct, in-person, on-site supervision from the medical director or other qualified licensed physician or other qualified supervising nonphysician licensed health professional at least four hours each week and that the regular supervision is documented;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Provide on-site review of medical aesthetic services performed by qualified licensed or certified nonphysician persons or qualified laser technicians each week and review at least 10 percent of patient charts for medical aesthetic services performed by qualified licensed or certified nonphysician persons or qualified laser technicians;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Be physically located, at all times, within 60 miles of the location where delegated medical aesthetic services are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Be available, in person or electronically, at all times, to consult with qualified licensed or certified nonphysician persons or qualified laser technicians who perform delegated medical aesthetic services, particularly in case of injury or an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Assess the legitimacy and safety of all equipment or other technologies being used by qualified licensed or certified nonphysician persons or qualified laser technicians who perform delegated medical aesthetic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Develop and implement protocols for responding to emergencies or other injuries suffered by persons receiving delegated medical aesthetic services performed by qualified licensed or certified nonphysician persons or qualified laser technicians;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Ensure that all qualified licensed or certified nonphysician persons or qualified laser technicians maintain accurate and timely medical records for the delegated medical aesthetic services they perform;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Ensure that each patient provides appropriate informed consent for medical aesthetic services performed by the medical director or other qualified licensed physician and all qualified licensed or certified nonphysician persons or qualified laser technicians and that such informed consent is timely documented in the patient’s medical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Ensure that the identity and licensure and certification of the medical director, other qualified licensed physicians, and all qualified licensed or certified nonphysician persons or qualified laser technicians are visibly displayed at each medical spa where they perform medical aesthetic services and provided in writing to each patient receiving medical aesthetic services at a medical spa;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Ensure that the board receives written verification of the education and training of all qualified licensed or certified nonphysician persons or qualified laser technicians who perform delegated medical aesthetic services at a medical spa, within 14 days of a request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655.6(6)</w:t>
      </w:r>
      <w:r>
        <w:rPr>
          <w:rFonts w:ascii="Times New Roman" w:hAnsi="Times New Roman"/>
          <w:b w:val="false"/>
          <w:i w:val="false"/>
          <w:color w:val="000000"/>
          <w:sz w:val="22"/>
        </w:rPr>
        <w:t> </w:t>
      </w:r>
      <w:r>
        <w:rPr>
          <w:rFonts w:ascii="Times New Roman" w:hAnsi="Times New Roman"/>
          <w:b w:val="false"/>
          <w:i/>
          <w:color w:val="000000"/>
          <w:sz w:val="22"/>
        </w:rPr>
        <w:t xml:space="preserve">Continuing medical education. </w:t>
      </w:r>
      <w:r>
        <w:rPr>
          <w:rFonts w:ascii="Times New Roman" w:hAnsi="Times New Roman"/>
          <w:b w:val="false"/>
          <w:i w:val="false"/>
          <w:color w:val="000000"/>
          <w:sz w:val="22"/>
        </w:rPr>
        <w:t>A medical director shall complete and shall ensure that all other physicians, qualified licensed or certified nonphysician persons, and qualified laser technicians who practice at the medical spa complete a minimum of 20 hours of continuing medical education in the safe and effective performance of medical aesthetic services each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655.6(7)</w:t>
      </w:r>
      <w:r>
        <w:rPr>
          <w:rFonts w:ascii="Times New Roman" w:hAnsi="Times New Roman"/>
          <w:b w:val="false"/>
          <w:i w:val="false"/>
          <w:color w:val="000000"/>
          <w:sz w:val="22"/>
        </w:rPr>
        <w:t> </w:t>
      </w:r>
      <w:r>
        <w:rPr>
          <w:rFonts w:ascii="Times New Roman" w:hAnsi="Times New Roman"/>
          <w:b w:val="false"/>
          <w:i/>
          <w:color w:val="000000"/>
          <w:sz w:val="22"/>
        </w:rPr>
        <w:t xml:space="preserve">Exceptions. </w:t>
      </w:r>
      <w:r>
        <w:rPr>
          <w:rFonts w:ascii="Times New Roman" w:hAnsi="Times New Roman"/>
          <w:b w:val="false"/>
          <w:i w:val="false"/>
          <w:color w:val="000000"/>
          <w:sz w:val="22"/>
        </w:rPr>
        <w:t>This rule is not intended to apply to physicians who serve as medical directors of licensed medical facilities, clinics or practices that provide medical aesthetic services as part of or incident to their other medical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655.6(8)</w:t>
      </w:r>
      <w:r>
        <w:rPr>
          <w:rFonts w:ascii="Times New Roman" w:hAnsi="Times New Roman"/>
          <w:b w:val="false"/>
          <w:i w:val="false"/>
          <w:color w:val="000000"/>
          <w:sz w:val="22"/>
        </w:rPr>
        <w:t> </w:t>
      </w:r>
      <w:r>
        <w:rPr>
          <w:rFonts w:ascii="Times New Roman" w:hAnsi="Times New Roman"/>
          <w:b w:val="false"/>
          <w:i/>
          <w:color w:val="000000"/>
          <w:sz w:val="22"/>
        </w:rPr>
        <w:t xml:space="preserve">Other qualified nonphysician licensed health professionals. </w:t>
      </w:r>
      <w:r>
        <w:rPr>
          <w:rFonts w:ascii="Times New Roman" w:hAnsi="Times New Roman"/>
          <w:b w:val="false"/>
          <w:i w:val="false"/>
          <w:color w:val="000000"/>
          <w:sz w:val="22"/>
        </w:rPr>
        <w:t xml:space="preserve">Nothing in this rule shall be interpreted to contradict or supersede the rules established in 481—Chapters </w:t>
      </w:r>
      <w:hyperlink r:id="rId18">
        <w:r>
          <w:rPr>
            <w:rStyle w:val="Hyperlink"/>
            <w:rFonts w:ascii="Times New Roman" w:hAnsi="Times New Roman"/>
            <w:b w:val="false"/>
            <w:i w:val="false"/>
            <w:color w:val="000000"/>
            <w:sz w:val="22"/>
          </w:rPr>
          <w:t>780</w:t>
        </w:r>
      </w:hyperlink>
      <w:r>
        <w:rPr>
          <w:rFonts w:ascii="Times New Roman" w:hAnsi="Times New Roman"/>
          <w:b w:val="false"/>
          <w:i w:val="false"/>
          <w:color w:val="000000"/>
          <w:sz w:val="22"/>
        </w:rPr>
        <w:t xml:space="preserve"> and </w:t>
      </w:r>
      <w:hyperlink r:id="rId19">
        <w:r>
          <w:rPr>
            <w:rStyle w:val="Hyperlink"/>
            <w:rFonts w:ascii="Times New Roman" w:hAnsi="Times New Roman"/>
            <w:b w:val="false"/>
            <w:i w:val="false"/>
            <w:color w:val="000000"/>
            <w:sz w:val="22"/>
          </w:rPr>
          <w:t>781</w:t>
        </w:r>
      </w:hyperlink>
      <w:r>
        <w:rPr>
          <w:rFonts w:ascii="Times New Roman" w:hAnsi="Times New Roman"/>
          <w:b w:val="false"/>
          <w:i w:val="false"/>
          <w:color w:val="000000"/>
          <w:sz w:val="22"/>
        </w:rPr>
        <w:t xml:space="preserve"> and </w:t>
      </w:r>
      <w:hyperlink r:id="rId20">
        <w:r>
          <w:rPr>
            <w:rStyle w:val="Hyperlink"/>
            <w:rFonts w:ascii="Times New Roman" w:hAnsi="Times New Roman"/>
            <w:b w:val="false"/>
            <w:i w:val="false"/>
            <w:color w:val="000000"/>
            <w:sz w:val="22"/>
          </w:rPr>
          <w:t>655—Chapter 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9115C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481—655.7</w:t>
      </w:r>
      <w:r>
        <w:rPr>
          <w:rFonts w:ascii="Times New Roman" w:hAnsi="Times New Roman"/>
          <w:b/>
          <w:i w:val="false"/>
          <w:color w:val="000000"/>
          <w:sz w:val="22"/>
        </w:rPr>
        <w:t xml:space="preserve">(147,148,272C) </w:t>
      </w:r>
      <w:r>
        <w:rPr>
          <w:rFonts w:ascii="Times New Roman" w:hAnsi="Times New Roman"/>
          <w:b/>
          <w:i w:val="false"/>
          <w:color w:val="000000"/>
          <w:sz w:val="22"/>
        </w:rPr>
        <w:t xml:space="preserve">Standards of practice—interventional chronic pain management. </w:t>
      </w:r>
      <w:r>
        <w:rPr>
          <w:rFonts w:ascii="Times New Roman" w:hAnsi="Times New Roman"/>
          <w:b w:val="false"/>
          <w:i w:val="false"/>
          <w:color w:val="000000"/>
          <w:sz w:val="22"/>
        </w:rPr>
        <w:t>This rule establishes standards of practice for the practice of interventional chronic pain management. The purpose of this rule is to assist physicians who consider interventional techniques to treat patients with chronic pain.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655.7(1)</w:t>
      </w:r>
      <w:r>
        <w:rPr>
          <w:rFonts w:ascii="Times New Roman" w:hAnsi="Times New Roman"/>
          <w:b w:val="false"/>
          <w:i w:val="false"/>
          <w:color w:val="000000"/>
          <w:sz w:val="22"/>
        </w:rPr>
        <w:t> </w:t>
      </w:r>
      <w:r>
        <w:rPr>
          <w:rFonts w:ascii="Times New Roman" w:hAnsi="Times New Roman"/>
          <w:b w:val="false"/>
          <w:i/>
          <w:color w:val="000000"/>
          <w:sz w:val="22"/>
        </w:rPr>
        <w:t xml:space="preserve">Definition. </w:t>
      </w:r>
      <w:r>
        <w:rPr>
          <w:rFonts w:ascii="Times New Roman" w:hAnsi="Times New Roman"/>
          <w:b w:val="false"/>
          <w:i w:val="false"/>
          <w:color w:val="000000"/>
          <w:sz w:val="22"/>
        </w:rPr>
        <w:t>As used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“Interventional chronic pain management” </w:t>
      </w:r>
      <w:r>
        <w:rPr>
          <w:rFonts w:ascii="Times New Roman" w:hAnsi="Times New Roman"/>
          <w:b w:val="false"/>
          <w:i w:val="false"/>
          <w:color w:val="000000"/>
          <w:sz w:val="22"/>
        </w:rPr>
        <w:t>means diagnosing and treating pain-related disorders using interventional techniques for subacute, chronic, persistent, and intractable pain. These techniques include percutaneous needle placement for drug injection, nerve ablation, and certain surgeries. Common procedures involve injecting steroids, analgesic, and anesthetics into targeted areas such as the spine, joints, or nerves. This may include lumbar, thoracic, and cervical spine injections; nerve blocks; and processes like vertebroplasty. Fluoroscopy is used to assess chronic pain causes or aid in identifying anatomical landmarks during these techniques. Specific procedures include joint injections, nerve blocks, epidural injections, and nerve destruction.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655.7(2)</w:t>
      </w:r>
      <w:r>
        <w:rPr>
          <w:rFonts w:ascii="Times New Roman" w:hAnsi="Times New Roman"/>
          <w:b w:val="false"/>
          <w:i w:val="false"/>
          <w:color w:val="000000"/>
          <w:sz w:val="22"/>
        </w:rPr>
        <w:t> </w:t>
      </w:r>
      <w:r>
        <w:rPr>
          <w:rFonts w:ascii="Times New Roman" w:hAnsi="Times New Roman"/>
          <w:b w:val="false"/>
          <w:i/>
          <w:color w:val="000000"/>
          <w:sz w:val="22"/>
        </w:rPr>
        <w:t xml:space="preserve">Interventional chronic pain management. </w:t>
      </w:r>
      <w:r>
        <w:rPr>
          <w:rFonts w:ascii="Times New Roman" w:hAnsi="Times New Roman"/>
          <w:b w:val="false"/>
          <w:i w:val="false"/>
          <w:color w:val="000000"/>
          <w:sz w:val="22"/>
        </w:rPr>
        <w:t>The practice of interventional chronic pain management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Comprehensive assessment of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Diagnosis of the cause of the patient’s pain;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Evaluation of alternative treatment options;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Selection of appropriate treatment options;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Termination of prescribed treatment options when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Follow-up care;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Collaboration with other health care providers.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655.7(3)</w:t>
      </w:r>
      <w:r>
        <w:rPr>
          <w:rFonts w:ascii="Times New Roman" w:hAnsi="Times New Roman"/>
          <w:b w:val="false"/>
          <w:i w:val="false"/>
          <w:color w:val="000000"/>
          <w:sz w:val="22"/>
        </w:rPr>
        <w:t> </w:t>
      </w:r>
      <w:r>
        <w:rPr>
          <w:rFonts w:ascii="Times New Roman" w:hAnsi="Times New Roman"/>
          <w:b w:val="false"/>
          <w:i/>
          <w:color w:val="000000"/>
          <w:sz w:val="22"/>
        </w:rPr>
        <w:t xml:space="preserve">Practice of medicine. </w:t>
      </w:r>
      <w:r>
        <w:rPr>
          <w:rFonts w:ascii="Times New Roman" w:hAnsi="Times New Roman"/>
          <w:b w:val="false"/>
          <w:i w:val="false"/>
          <w:color w:val="000000"/>
          <w:sz w:val="22"/>
        </w:rPr>
        <w:t>Interventional chronic pain management is the practice of medicine.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9115C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481—655.8</w:t>
      </w:r>
      <w:r>
        <w:rPr>
          <w:rFonts w:ascii="Times New Roman" w:hAnsi="Times New Roman"/>
          <w:b/>
          <w:i w:val="false"/>
          <w:color w:val="000000"/>
          <w:sz w:val="22"/>
        </w:rPr>
        <w:t xml:space="preserve">(147,148,272C) </w:t>
      </w:r>
      <w:r>
        <w:rPr>
          <w:rFonts w:ascii="Times New Roman" w:hAnsi="Times New Roman"/>
          <w:b/>
          <w:i w:val="false"/>
          <w:color w:val="000000"/>
          <w:sz w:val="22"/>
        </w:rPr>
        <w:t xml:space="preserve">Standards of practice—physicians who prescribe or administer abortion-inducing drugs.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655.8(1)</w:t>
      </w:r>
      <w:r>
        <w:rPr>
          <w:rFonts w:ascii="Times New Roman" w:hAnsi="Times New Roman"/>
          <w:b w:val="false"/>
          <w:i w:val="false"/>
          <w:color w:val="000000"/>
          <w:sz w:val="22"/>
        </w:rPr>
        <w:t> </w:t>
      </w:r>
      <w:r>
        <w:rPr>
          <w:rFonts w:ascii="Times New Roman" w:hAnsi="Times New Roman"/>
          <w:b w:val="false"/>
          <w:i/>
          <w:color w:val="000000"/>
          <w:sz w:val="22"/>
        </w:rPr>
        <w:t xml:space="preserve">Definition. </w:t>
      </w:r>
      <w:r>
        <w:rPr>
          <w:rFonts w:ascii="Times New Roman" w:hAnsi="Times New Roman"/>
          <w:b w:val="false"/>
          <w:i w:val="false"/>
          <w:color w:val="000000"/>
          <w:sz w:val="22"/>
        </w:rPr>
        <w:t>As used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“Abortion-inducing drug” </w:t>
      </w:r>
      <w:r>
        <w:rPr>
          <w:rFonts w:ascii="Times New Roman" w:hAnsi="Times New Roman"/>
          <w:b w:val="false"/>
          <w:i w:val="false"/>
          <w:color w:val="000000"/>
          <w:sz w:val="22"/>
        </w:rPr>
        <w:t>means a drug, medicine, mixture, or preparation, when it is prescribed or administered with the intent to terminate the pregnancy of a woman known to be pregnant.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655.8(2)</w:t>
      </w:r>
      <w:r>
        <w:rPr>
          <w:rFonts w:ascii="Times New Roman" w:hAnsi="Times New Roman"/>
          <w:b w:val="false"/>
          <w:i w:val="false"/>
          <w:color w:val="000000"/>
          <w:sz w:val="22"/>
        </w:rPr>
        <w:t> </w:t>
      </w:r>
      <w:r>
        <w:rPr>
          <w:rFonts w:ascii="Times New Roman" w:hAnsi="Times New Roman"/>
          <w:b w:val="false"/>
          <w:i/>
          <w:color w:val="000000"/>
          <w:sz w:val="22"/>
        </w:rPr>
        <w:t xml:space="preserve">Review of patient record. </w:t>
      </w:r>
      <w:r>
        <w:rPr>
          <w:rFonts w:ascii="Times New Roman" w:hAnsi="Times New Roman"/>
          <w:b w:val="false"/>
          <w:i w:val="false"/>
          <w:color w:val="000000"/>
          <w:sz w:val="22"/>
        </w:rPr>
        <w:t xml:space="preserve">A physician shall not induce an abortion by providing an abortion-inducing drug unless the physician has first reviewed the lab results, ultrasound images, and medical history provided by the patient to determine, and document in the woman’s medical record, the gestational age and intrauterine location of the pregnancy. A physician may utilize telemedicine pursuant to rule </w:t>
      </w:r>
      <w:hyperlink r:id="rId21">
        <w:r>
          <w:rPr>
            <w:rStyle w:val="Hyperlink"/>
            <w:rFonts w:ascii="Times New Roman" w:hAnsi="Times New Roman"/>
            <w:b w:val="false"/>
            <w:i w:val="false"/>
            <w:color w:val="000000"/>
            <w:sz w:val="22"/>
          </w:rPr>
          <w:t>481—655.9</w:t>
        </w:r>
      </w:hyperlink>
      <w:r>
        <w:rPr>
          <w:rFonts w:ascii="Times New Roman" w:hAnsi="Times New Roman"/>
          <w:b w:val="false"/>
          <w:i w:val="false"/>
          <w:color w:val="000000"/>
          <w:sz w:val="22"/>
        </w:rPr>
        <w:t>(147,148,272C).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655.8(3)</w:t>
      </w:r>
      <w:r>
        <w:rPr>
          <w:rFonts w:ascii="Times New Roman" w:hAnsi="Times New Roman"/>
          <w:b w:val="false"/>
          <w:i w:val="false"/>
          <w:color w:val="000000"/>
          <w:sz w:val="22"/>
        </w:rPr>
        <w:t> </w:t>
      </w:r>
      <w:r>
        <w:rPr>
          <w:rFonts w:ascii="Times New Roman" w:hAnsi="Times New Roman"/>
          <w:b w:val="false"/>
          <w:i/>
          <w:color w:val="000000"/>
          <w:sz w:val="22"/>
        </w:rPr>
        <w:t xml:space="preserve">Follow-up appointment required. </w:t>
      </w:r>
      <w:r>
        <w:rPr>
          <w:rFonts w:ascii="Times New Roman" w:hAnsi="Times New Roman"/>
          <w:b w:val="false"/>
          <w:i w:val="false"/>
          <w:color w:val="000000"/>
          <w:sz w:val="22"/>
        </w:rPr>
        <w:t>If an abortion is induced by an abortion-inducing drug, the physician or designee shall use all reasonable efforts to ensure a follow-up appointment is scheduled with the patient at the same facility within 12 to 18 days after the patient’s use of an abortion-inducing drug to confirm the termination of the pregnancy and evaluate the woman’s medical condition.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655.8(4)</w:t>
      </w:r>
      <w:r>
        <w:rPr>
          <w:rFonts w:ascii="Times New Roman" w:hAnsi="Times New Roman"/>
          <w:b w:val="false"/>
          <w:i w:val="false"/>
          <w:color w:val="000000"/>
          <w:sz w:val="22"/>
        </w:rPr>
        <w:t> </w:t>
      </w:r>
      <w:r>
        <w:rPr>
          <w:rFonts w:ascii="Times New Roman" w:hAnsi="Times New Roman"/>
          <w:b w:val="false"/>
          <w:i/>
          <w:color w:val="000000"/>
          <w:sz w:val="22"/>
        </w:rPr>
        <w:t xml:space="preserve">Parental notification regarding pregnant minors. </w:t>
      </w:r>
      <w:r>
        <w:rPr>
          <w:rFonts w:ascii="Times New Roman" w:hAnsi="Times New Roman"/>
          <w:b w:val="false"/>
          <w:i w:val="false"/>
          <w:color w:val="000000"/>
          <w:sz w:val="22"/>
        </w:rPr>
        <w:t xml:space="preserve">A physician shall not induce an abortion by providing an abortion-inducing drug to a pregnant minor prior to compliance with the requirements of Iowa Code chapter </w:t>
      </w:r>
      <w:hyperlink r:id="rId22">
        <w:r>
          <w:rPr>
            <w:rStyle w:val="Hyperlink"/>
            <w:rFonts w:ascii="Times New Roman" w:hAnsi="Times New Roman"/>
            <w:b w:val="false"/>
            <w:i w:val="false"/>
            <w:color w:val="000000"/>
            <w:sz w:val="22"/>
          </w:rPr>
          <w:t>135L</w:t>
        </w:r>
      </w:hyperlink>
      <w:r>
        <w:rPr>
          <w:rFonts w:ascii="Times New Roman" w:hAnsi="Times New Roman"/>
          <w:b w:val="false"/>
          <w:i w:val="false"/>
          <w:color w:val="000000"/>
          <w:sz w:val="22"/>
        </w:rPr>
        <w:t xml:space="preserve"> and rules </w:t>
      </w:r>
      <w:hyperlink r:id="rId23">
        <w:r>
          <w:rPr>
            <w:rStyle w:val="Hyperlink"/>
            <w:rFonts w:ascii="Times New Roman" w:hAnsi="Times New Roman"/>
            <w:b w:val="false"/>
            <w:i w:val="false"/>
            <w:color w:val="000000"/>
            <w:sz w:val="22"/>
          </w:rPr>
          <w:t>641—89.12</w:t>
        </w:r>
      </w:hyperlink>
      <w:r>
        <w:rPr>
          <w:rFonts w:ascii="Times New Roman" w:hAnsi="Times New Roman"/>
          <w:b w:val="false"/>
          <w:i w:val="false"/>
          <w:color w:val="000000"/>
          <w:sz w:val="22"/>
        </w:rPr>
        <w:t xml:space="preserve">(135L) and </w:t>
      </w:r>
      <w:hyperlink r:id="rId24">
        <w:r>
          <w:rPr>
            <w:rStyle w:val="Hyperlink"/>
            <w:rFonts w:ascii="Times New Roman" w:hAnsi="Times New Roman"/>
            <w:b w:val="false"/>
            <w:i w:val="false"/>
            <w:color w:val="000000"/>
            <w:sz w:val="22"/>
          </w:rPr>
          <w:t>641—89.21</w:t>
        </w:r>
      </w:hyperlink>
      <w:r>
        <w:rPr>
          <w:rFonts w:ascii="Times New Roman" w:hAnsi="Times New Roman"/>
          <w:b w:val="false"/>
          <w:i w:val="false"/>
          <w:color w:val="000000"/>
          <w:sz w:val="22"/>
        </w:rPr>
        <w:t>(135L).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9115C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481—655.9</w:t>
      </w:r>
      <w:r>
        <w:rPr>
          <w:rFonts w:ascii="Times New Roman" w:hAnsi="Times New Roman"/>
          <w:b/>
          <w:i w:val="false"/>
          <w:color w:val="000000"/>
          <w:sz w:val="22"/>
        </w:rPr>
        <w:t xml:space="preserve">(147,148,272C) </w:t>
      </w:r>
      <w:r>
        <w:rPr>
          <w:rFonts w:ascii="Times New Roman" w:hAnsi="Times New Roman"/>
          <w:b/>
          <w:i w:val="false"/>
          <w:color w:val="000000"/>
          <w:sz w:val="22"/>
        </w:rPr>
        <w:t xml:space="preserve">Standards of practice—telemedicine. </w:t>
      </w:r>
      <w:r>
        <w:rPr>
          <w:rFonts w:ascii="Times New Roman" w:hAnsi="Times New Roman"/>
          <w:b w:val="false"/>
          <w:i w:val="false"/>
          <w:color w:val="000000"/>
          <w:sz w:val="22"/>
        </w:rPr>
        <w:t>This rule establishes standards of practice for the practice of medicine using telemedicine.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655.9(1)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As used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“Asynchronous store-and-forward transmission” </w:t>
      </w:r>
      <w:r>
        <w:rPr>
          <w:rFonts w:ascii="Times New Roman" w:hAnsi="Times New Roman"/>
          <w:b w:val="false"/>
          <w:i w:val="false"/>
          <w:color w:val="000000"/>
          <w:sz w:val="22"/>
        </w:rPr>
        <w:t>means the collection of a patient’s relevant health information and the subsequent transmission of the data from an originating site to a health care provider at a distant site without the presence of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the Iowa board of medicine.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“In-person encounter” </w:t>
      </w:r>
      <w:r>
        <w:rPr>
          <w:rFonts w:ascii="Times New Roman" w:hAnsi="Times New Roman"/>
          <w:b w:val="false"/>
          <w:i w:val="false"/>
          <w:color w:val="000000"/>
          <w:sz w:val="22"/>
        </w:rPr>
        <w:t>means that the physician and the patient are in the physical presence of each other and are in the same physical location during the physician-patient encounter.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“Licensee” </w:t>
      </w:r>
      <w:r>
        <w:rPr>
          <w:rFonts w:ascii="Times New Roman" w:hAnsi="Times New Roman"/>
          <w:b w:val="false"/>
          <w:i w:val="false"/>
          <w:color w:val="000000"/>
          <w:sz w:val="22"/>
        </w:rPr>
        <w:t>means a medical physician or osteopathic physician licensed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“Telemedicine” </w:t>
      </w:r>
      <w:r>
        <w:rPr>
          <w:rFonts w:ascii="Times New Roman" w:hAnsi="Times New Roman"/>
          <w:b w:val="false"/>
          <w:i w:val="false"/>
          <w:color w:val="000000"/>
          <w:sz w:val="22"/>
        </w:rPr>
        <w:t>means the practice of medicine using electronic audio-visual communications and information technologies or other means, including interactive audio with asynchronous store-and-forward transmission, between a licensee in one location and a patient in another location with or without an intervening health care provider. Telemedicine includes asynchronous store-and-forward technologies, remote monitoring, and real-time interactive services, including teleradiology and telepathology. Telemedicine shall not include the provision of medical services only through an audio-only telephone, email messages, facsimile transmissions, or U.S. mail or other parcel service, or any combination thereof.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“Telemedicine technologies” </w:t>
      </w:r>
      <w:r>
        <w:rPr>
          <w:rFonts w:ascii="Times New Roman" w:hAnsi="Times New Roman"/>
          <w:b w:val="false"/>
          <w:i w:val="false"/>
          <w:color w:val="000000"/>
          <w:sz w:val="22"/>
        </w:rPr>
        <w:t>means technologies and devices enabling secure electronic communications and information exchanges between a licensee in one location and a patient in another location with or without an intervening health care provider.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655.9(2)</w:t>
      </w:r>
      <w:r>
        <w:rPr>
          <w:rFonts w:ascii="Times New Roman" w:hAnsi="Times New Roman"/>
          <w:b w:val="false"/>
          <w:i w:val="false"/>
          <w:color w:val="000000"/>
          <w:sz w:val="22"/>
        </w:rPr>
        <w:t> </w:t>
      </w:r>
      <w:r>
        <w:rPr>
          <w:rFonts w:ascii="Times New Roman" w:hAnsi="Times New Roman"/>
          <w:b w:val="false"/>
          <w:i/>
          <w:color w:val="000000"/>
          <w:sz w:val="22"/>
        </w:rPr>
        <w:t xml:space="preserve">Practice guidelines. </w:t>
      </w:r>
      <w:r>
        <w:rPr>
          <w:rFonts w:ascii="Times New Roman" w:hAnsi="Times New Roman"/>
          <w:b w:val="false"/>
          <w:i w:val="false"/>
          <w:color w:val="000000"/>
          <w:sz w:val="22"/>
        </w:rPr>
        <w:t>A licensee who uses telemedicine shall utilize evidence-based telemedicine practice guidelines and standards of practice, to the degree they are available, to ensure patient safety, quality of care, and positive outcomes. The board acknowledges that some nationally recognized medical specialty organizations have established comprehensive telemedicine practice guidelines that address the clinical and technological aspects of telemedicine for many medical specialties.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655.9(3)</w:t>
      </w:r>
      <w:r>
        <w:rPr>
          <w:rFonts w:ascii="Times New Roman" w:hAnsi="Times New Roman"/>
          <w:b w:val="false"/>
          <w:i w:val="false"/>
          <w:color w:val="000000"/>
          <w:sz w:val="22"/>
        </w:rPr>
        <w:t> </w:t>
      </w:r>
      <w:r>
        <w:rPr>
          <w:rFonts w:ascii="Times New Roman" w:hAnsi="Times New Roman"/>
          <w:b w:val="false"/>
          <w:i/>
          <w:color w:val="000000"/>
          <w:sz w:val="22"/>
        </w:rPr>
        <w:t xml:space="preserve">Iowa medical license required. </w:t>
      </w:r>
      <w:r>
        <w:rPr>
          <w:rFonts w:ascii="Times New Roman" w:hAnsi="Times New Roman"/>
          <w:b w:val="false"/>
          <w:i w:val="false"/>
          <w:color w:val="000000"/>
          <w:sz w:val="22"/>
        </w:rPr>
        <w:t xml:space="preserve">A physician who uses telemedicine in the diagnosis and treatment of a patient located in Iowa shall hold an active Iowa medical license consistent with state and federal laws. Nothing in this rule shall be construed to supersede the exceptions to licensure contained in </w:t>
      </w:r>
      <w:hyperlink r:id="rId25">
        <w:r>
          <w:rPr>
            <w:rStyle w:val="Hyperlink"/>
            <w:rFonts w:ascii="Times New Roman" w:hAnsi="Times New Roman"/>
            <w:b w:val="false"/>
            <w:i w:val="false"/>
            <w:color w:val="000000"/>
            <w:sz w:val="22"/>
          </w:rPr>
          <w:t>481—subrule 652.2(2)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655.9(4)</w:t>
      </w:r>
      <w:r>
        <w:rPr>
          <w:rFonts w:ascii="Times New Roman" w:hAnsi="Times New Roman"/>
          <w:b w:val="false"/>
          <w:i w:val="false"/>
          <w:color w:val="000000"/>
          <w:sz w:val="22"/>
        </w:rPr>
        <w:t> </w:t>
      </w:r>
      <w:r>
        <w:rPr>
          <w:rFonts w:ascii="Times New Roman" w:hAnsi="Times New Roman"/>
          <w:b w:val="false"/>
          <w:i/>
          <w:color w:val="000000"/>
          <w:sz w:val="22"/>
        </w:rPr>
        <w:t xml:space="preserve">Standards of care and professional ethics. </w:t>
      </w:r>
      <w:r>
        <w:rPr>
          <w:rFonts w:ascii="Times New Roman" w:hAnsi="Times New Roman"/>
          <w:b w:val="false"/>
          <w:i w:val="false"/>
          <w:color w:val="000000"/>
          <w:sz w:val="22"/>
        </w:rPr>
        <w:t>A licensee who uses telemedicine is held to the same standards of care and professional ethics as a licensee using traditional in-person encounters with patients. Failure to conform to the appropriate standards of care or professional ethics while using telemedicine may be a violation of the laws and rules governing the practice of medicine and may subject the licensee to potential discipline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655.9(5)</w:t>
      </w:r>
      <w:r>
        <w:rPr>
          <w:rFonts w:ascii="Times New Roman" w:hAnsi="Times New Roman"/>
          <w:b w:val="false"/>
          <w:i w:val="false"/>
          <w:color w:val="000000"/>
          <w:sz w:val="22"/>
        </w:rPr>
        <w:t> </w:t>
      </w:r>
      <w:r>
        <w:rPr>
          <w:rFonts w:ascii="Times New Roman" w:hAnsi="Times New Roman"/>
          <w:b w:val="false"/>
          <w:i/>
          <w:color w:val="000000"/>
          <w:sz w:val="22"/>
        </w:rPr>
        <w:t xml:space="preserve">Scope of practice. </w:t>
      </w:r>
      <w:r>
        <w:rPr>
          <w:rFonts w:ascii="Times New Roman" w:hAnsi="Times New Roman"/>
          <w:b w:val="false"/>
          <w:i w:val="false"/>
          <w:color w:val="000000"/>
          <w:sz w:val="22"/>
        </w:rPr>
        <w:t>A licensee who uses telemedicine shall ensure that the services provided are consistent with the licensee’s scope of practice, including the licensee’s education, training, experience, ability, licensure, and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655.9(6)</w:t>
      </w:r>
      <w:r>
        <w:rPr>
          <w:rFonts w:ascii="Times New Roman" w:hAnsi="Times New Roman"/>
          <w:b w:val="false"/>
          <w:i w:val="false"/>
          <w:color w:val="000000"/>
          <w:sz w:val="22"/>
        </w:rPr>
        <w:t> </w:t>
      </w:r>
      <w:r>
        <w:rPr>
          <w:rFonts w:ascii="Times New Roman" w:hAnsi="Times New Roman"/>
          <w:b w:val="false"/>
          <w:i/>
          <w:color w:val="000000"/>
          <w:sz w:val="22"/>
        </w:rPr>
        <w:t xml:space="preserve">Identification of patient and physician. </w:t>
      </w:r>
      <w:r>
        <w:rPr>
          <w:rFonts w:ascii="Times New Roman" w:hAnsi="Times New Roman"/>
          <w:b w:val="false"/>
          <w:i w:val="false"/>
          <w:color w:val="000000"/>
          <w:sz w:val="22"/>
        </w:rPr>
        <w:t>A licensee who uses telemedicine shall verify the identity of the patient and ensure that the patient has the ability to verify the identity, licensure status, certification, and credentials of all health care providers who provide telemedicine services prior to the provision of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655.9(7)</w:t>
      </w:r>
      <w:r>
        <w:rPr>
          <w:rFonts w:ascii="Times New Roman" w:hAnsi="Times New Roman"/>
          <w:b w:val="false"/>
          <w:i w:val="false"/>
          <w:color w:val="000000"/>
          <w:sz w:val="22"/>
        </w:rPr>
        <w:t> </w:t>
      </w:r>
      <w:r>
        <w:rPr>
          <w:rFonts w:ascii="Times New Roman" w:hAnsi="Times New Roman"/>
          <w:b w:val="false"/>
          <w:i/>
          <w:color w:val="000000"/>
          <w:sz w:val="22"/>
        </w:rPr>
        <w:t xml:space="preserve">Physician-patient relationship.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licensee who uses telemedicine shall establish a valid physician-patient relationship with the person who receives telemedicine services. The physician-patient relationship begins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person with a health-related matter seeks assistance from a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licensee agrees to undertake diagnosis and treatment of the person;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person agrees to be treated by the licensee whether or not there has been an in-person encounter between the physician and the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valid physician-patient relationship may be established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In-person encounter. Through an in-person medical interview and physical examination where the standard of care would require an in-person encounter;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Consultation with another licensee. Through consultation with another licensee (or other health care provider) who has an established relationship with the patient and who agrees to participate in, or supervise, the patient’s care;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Telemedicine encounter. Through telemedicine, if the standard of care does not require an in-person encounter, and in accordance with evidence-based standards of practice and telemedicine practice guidelines that address the clinical and technological aspects of telemedicine.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655.9(8)</w:t>
      </w:r>
      <w:r>
        <w:rPr>
          <w:rFonts w:ascii="Times New Roman" w:hAnsi="Times New Roman"/>
          <w:b w:val="false"/>
          <w:i w:val="false"/>
          <w:color w:val="000000"/>
          <w:sz w:val="22"/>
        </w:rPr>
        <w:t> </w:t>
      </w:r>
      <w:r>
        <w:rPr>
          <w:rFonts w:ascii="Times New Roman" w:hAnsi="Times New Roman"/>
          <w:b w:val="false"/>
          <w:i/>
          <w:color w:val="000000"/>
          <w:sz w:val="22"/>
        </w:rPr>
        <w:t xml:space="preserve">Medical history and physical examination. </w:t>
      </w:r>
      <w:r>
        <w:rPr>
          <w:rFonts w:ascii="Times New Roman" w:hAnsi="Times New Roman"/>
          <w:b w:val="false"/>
          <w:i w:val="false"/>
          <w:color w:val="000000"/>
          <w:sz w:val="22"/>
        </w:rPr>
        <w:t>Generally, a licensee shall perform an in-person medical interview and physical examination for each patient. However, the medical interview and physical examination may not be in-person if the technology utilized in a telemedicine encounter is sufficient to establish an informed diagnosis as though the medical interview and physical examination had been performed in-person. Prior to providing treatment, including issuing prescriptions, electronically or otherwise, a licensee who uses telemedicine shall interview the patient to collect the relevant medical history and perform a physical examination, when medically necessary, sufficient for the diagnosis and treatment of the patient. An Internet questionnaire that is a static set of questions provided to the patient, to which the patient responds with a static set of answers, in contrast to an adaptive, interactive and responsive online interview, does not constitute an acceptable medical interview and physical examination for the provision of treatment, including issuance of prescriptions, electronically or otherwise, by a licensee.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655.9(9)</w:t>
      </w:r>
      <w:r>
        <w:rPr>
          <w:rFonts w:ascii="Times New Roman" w:hAnsi="Times New Roman"/>
          <w:b w:val="false"/>
          <w:i w:val="false"/>
          <w:color w:val="000000"/>
          <w:sz w:val="22"/>
        </w:rPr>
        <w:t> </w:t>
      </w:r>
      <w:r>
        <w:rPr>
          <w:rFonts w:ascii="Times New Roman" w:hAnsi="Times New Roman"/>
          <w:b w:val="false"/>
          <w:i/>
          <w:color w:val="000000"/>
          <w:sz w:val="22"/>
        </w:rPr>
        <w:t xml:space="preserve">Nonphysician health care providers. </w:t>
      </w:r>
      <w:r>
        <w:rPr>
          <w:rFonts w:ascii="Times New Roman" w:hAnsi="Times New Roman"/>
          <w:b w:val="false"/>
          <w:i w:val="false"/>
          <w:color w:val="000000"/>
          <w:sz w:val="22"/>
        </w:rPr>
        <w:t>If a licensee who uses telemedicine relies upon or delegates the provision of telemedicine services to a nonphysician health care provider, the licensee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Ensure that systems are in place to ensure that the nonphysician health care provider is qualified and trained to provide that service within the scope of the nonphysician health care provider’s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Ensure that the licensee is available in person or electronically to consult with the nonphysician health care provider, particularly in the case of injury or an emergency.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655.9(10)</w:t>
      </w:r>
      <w:r>
        <w:rPr>
          <w:rFonts w:ascii="Times New Roman" w:hAnsi="Times New Roman"/>
          <w:b w:val="false"/>
          <w:i w:val="false"/>
          <w:color w:val="000000"/>
          <w:sz w:val="22"/>
        </w:rPr>
        <w:t> </w:t>
      </w:r>
      <w:r>
        <w:rPr>
          <w:rFonts w:ascii="Times New Roman" w:hAnsi="Times New Roman"/>
          <w:b w:val="false"/>
          <w:i/>
          <w:color w:val="000000"/>
          <w:sz w:val="22"/>
        </w:rPr>
        <w:t xml:space="preserve">Informed consent. </w:t>
      </w:r>
      <w:r>
        <w:rPr>
          <w:rFonts w:ascii="Times New Roman" w:hAnsi="Times New Roman"/>
          <w:b w:val="false"/>
          <w:i w:val="false"/>
          <w:color w:val="000000"/>
          <w:sz w:val="22"/>
        </w:rPr>
        <w:t>A licensee who uses telemedicine shall ensure that the patient provides appropriate informed consent for the medical services provided, including consent for the use of telemedicine to diagnose and treat the patient, and that such informed consent is timely documented in the patient’s medical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655.9(11)</w:t>
      </w:r>
      <w:r>
        <w:rPr>
          <w:rFonts w:ascii="Times New Roman" w:hAnsi="Times New Roman"/>
          <w:b w:val="false"/>
          <w:i w:val="false"/>
          <w:color w:val="000000"/>
          <w:sz w:val="22"/>
        </w:rPr>
        <w:t> </w:t>
      </w:r>
      <w:r>
        <w:rPr>
          <w:rFonts w:ascii="Times New Roman" w:hAnsi="Times New Roman"/>
          <w:b w:val="false"/>
          <w:i/>
          <w:color w:val="000000"/>
          <w:sz w:val="22"/>
        </w:rPr>
        <w:t xml:space="preserve">Coordination of care. </w:t>
      </w:r>
      <w:r>
        <w:rPr>
          <w:rFonts w:ascii="Times New Roman" w:hAnsi="Times New Roman"/>
          <w:b w:val="false"/>
          <w:i w:val="false"/>
          <w:color w:val="000000"/>
          <w:sz w:val="22"/>
        </w:rPr>
        <w:t>A licensee who uses telemedicine shall, when medically appropriate, identify the medical home or treating physician(s) for the patient, when available, where in-person services can be delivered in coordination with the telemedicine services. The licensee shall provide a copy of the medical record to the patient’s medical home or treating physician(s).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655.9(12)</w:t>
      </w:r>
      <w:r>
        <w:rPr>
          <w:rFonts w:ascii="Times New Roman" w:hAnsi="Times New Roman"/>
          <w:b w:val="false"/>
          <w:i w:val="false"/>
          <w:color w:val="000000"/>
          <w:sz w:val="22"/>
        </w:rPr>
        <w:t> </w:t>
      </w:r>
      <w:r>
        <w:rPr>
          <w:rFonts w:ascii="Times New Roman" w:hAnsi="Times New Roman"/>
          <w:b w:val="false"/>
          <w:i/>
          <w:color w:val="000000"/>
          <w:sz w:val="22"/>
        </w:rPr>
        <w:t xml:space="preserve">Follow-up care. </w:t>
      </w:r>
      <w:r>
        <w:rPr>
          <w:rFonts w:ascii="Times New Roman" w:hAnsi="Times New Roman"/>
          <w:b w:val="false"/>
          <w:i w:val="false"/>
          <w:color w:val="000000"/>
          <w:sz w:val="22"/>
        </w:rPr>
        <w:t>A licensee who uses telemedicine shall have access to, or adequate knowledge of, the nature and availability of local medical resources to provide appropriate follow-up care to the patient following a telemedicine encounter.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655.9(13)</w:t>
      </w:r>
      <w:r>
        <w:rPr>
          <w:rFonts w:ascii="Times New Roman" w:hAnsi="Times New Roman"/>
          <w:b w:val="false"/>
          <w:i w:val="false"/>
          <w:color w:val="000000"/>
          <w:sz w:val="22"/>
        </w:rPr>
        <w:t> </w:t>
      </w:r>
      <w:r>
        <w:rPr>
          <w:rFonts w:ascii="Times New Roman" w:hAnsi="Times New Roman"/>
          <w:b w:val="false"/>
          <w:i/>
          <w:color w:val="000000"/>
          <w:sz w:val="22"/>
        </w:rPr>
        <w:t xml:space="preserve">Emergency services. </w:t>
      </w:r>
      <w:r>
        <w:rPr>
          <w:rFonts w:ascii="Times New Roman" w:hAnsi="Times New Roman"/>
          <w:b w:val="false"/>
          <w:i w:val="false"/>
          <w:color w:val="000000"/>
          <w:sz w:val="22"/>
        </w:rPr>
        <w:t>A licensee who uses telemedicine shall refer a patient to an acute care facility or an emergency department when referral is necessary for the safety of the patient or in the case of an emergency.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655.9(14)</w:t>
      </w:r>
      <w:r>
        <w:rPr>
          <w:rFonts w:ascii="Times New Roman" w:hAnsi="Times New Roman"/>
          <w:b w:val="false"/>
          <w:i w:val="false"/>
          <w:color w:val="000000"/>
          <w:sz w:val="22"/>
        </w:rPr>
        <w:t> </w:t>
      </w:r>
      <w:r>
        <w:rPr>
          <w:rFonts w:ascii="Times New Roman" w:hAnsi="Times New Roman"/>
          <w:b w:val="false"/>
          <w:i/>
          <w:color w:val="000000"/>
          <w:sz w:val="22"/>
        </w:rPr>
        <w:t xml:space="preserve">Medical records. </w:t>
      </w:r>
      <w:r>
        <w:rPr>
          <w:rFonts w:ascii="Times New Roman" w:hAnsi="Times New Roman"/>
          <w:b w:val="false"/>
          <w:i w:val="false"/>
          <w:color w:val="000000"/>
          <w:sz w:val="22"/>
        </w:rPr>
        <w:t>A licensee who uses telemedicine shall ensure that complete, accurate and timely medical records are maintained for the patient when appropriate, including all patient-related electronic communications, records of past care, physician-patient communications, laboratory and test results, evaluations and consultations, prescriptions, and instructions obtained or produced in connection with the use of telemedicine technologies. The licensee shall note in the patient’s record when telemedicine is used to provide diagnosis and treatment. The licensee shall ensure that the patient or another licensee designated by the patient has timely access to all information obtained during the telemedicine encounter. The licensee shall ensure that the patient receives, upon request, a summary of each telemedicine encounter in a timely manner.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655.9(15)</w:t>
      </w:r>
      <w:r>
        <w:rPr>
          <w:rFonts w:ascii="Times New Roman" w:hAnsi="Times New Roman"/>
          <w:b w:val="false"/>
          <w:i w:val="false"/>
          <w:color w:val="000000"/>
          <w:sz w:val="22"/>
        </w:rPr>
        <w:t> </w:t>
      </w:r>
      <w:r>
        <w:rPr>
          <w:rFonts w:ascii="Times New Roman" w:hAnsi="Times New Roman"/>
          <w:b w:val="false"/>
          <w:i/>
          <w:color w:val="000000"/>
          <w:sz w:val="22"/>
        </w:rPr>
        <w:t xml:space="preserve">Privacy and security. </w:t>
      </w:r>
      <w:r>
        <w:rPr>
          <w:rFonts w:ascii="Times New Roman" w:hAnsi="Times New Roman"/>
          <w:b w:val="false"/>
          <w:i w:val="false"/>
          <w:color w:val="000000"/>
          <w:sz w:val="22"/>
        </w:rPr>
        <w:t>A licensee who uses telemedicine shall ensure that all telemedicine encounters comply with the privacy and security measures of the Health Insurance Portability and Accountability Act of 1996, PL 104-191, August 21, 1996, 110 Stat. 1936, and any amendments as of October 16, 2024, to ensure that all patient communications and records are secure and remain confidential.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Written protocols shall be established that address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Privacy;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Health care personnel who will process messages;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Hours of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Types of transactions that will be permitted electronically;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Required patient information to be included in the communication, including patient name, identification number and type of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Archiving and retrieval;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Quality oversight mechanisms.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written protocols should be periodically evaluated for currency and should be maintained in an accessible and readily available manner for review. The written protocols shall include sufficient privacy and security measures to ensure the confidentiality and integrity of patient-identifiable information, including password protection, encryption or other reliable authentication techniques.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655.9(16)</w:t>
      </w:r>
      <w:r>
        <w:rPr>
          <w:rFonts w:ascii="Times New Roman" w:hAnsi="Times New Roman"/>
          <w:b w:val="false"/>
          <w:i w:val="false"/>
          <w:color w:val="000000"/>
          <w:sz w:val="22"/>
        </w:rPr>
        <w:t> </w:t>
      </w:r>
      <w:r>
        <w:rPr>
          <w:rFonts w:ascii="Times New Roman" w:hAnsi="Times New Roman"/>
          <w:b w:val="false"/>
          <w:i/>
          <w:color w:val="000000"/>
          <w:sz w:val="22"/>
        </w:rPr>
        <w:t xml:space="preserve">Technology and equipment. </w:t>
      </w:r>
      <w:r>
        <w:rPr>
          <w:rFonts w:ascii="Times New Roman" w:hAnsi="Times New Roman"/>
          <w:b w:val="false"/>
          <w:i w:val="false"/>
          <w:color w:val="000000"/>
          <w:sz w:val="22"/>
        </w:rPr>
        <w:t>The board recognizes that three broad categories of telemedicine technologies currently exist, including asynchronous store-and-forward technologies, remote monitoring, and real-time interactive services. While some telemedicine programs are multispecialty in nature, others are tailored to specific diseases and medical specialties. The technology and equipment utilized for telemedicine shall comply with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Comply with relevant safety laws, rules, regulations, and codes for technology and technical safety for devices that interact with patients or are integral to diagnostic capabilities;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 of sufficient quality, size, resolution and clarity such that the licensee can safely and effectively provide the telemedicine services;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 compliant with the Health Insurance Portability and Accountability Act of 1996, PL 104-191, August 21, 1996, 110 Stat. 1936, and any amendments as of October 16, 2024.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655.9(17)</w:t>
      </w:r>
      <w:r>
        <w:rPr>
          <w:rFonts w:ascii="Times New Roman" w:hAnsi="Times New Roman"/>
          <w:b w:val="false"/>
          <w:i w:val="false"/>
          <w:color w:val="000000"/>
          <w:sz w:val="22"/>
        </w:rPr>
        <w:t> </w:t>
      </w:r>
      <w:r>
        <w:rPr>
          <w:rFonts w:ascii="Times New Roman" w:hAnsi="Times New Roman"/>
          <w:b w:val="false"/>
          <w:i/>
          <w:color w:val="000000"/>
          <w:sz w:val="22"/>
        </w:rPr>
        <w:t xml:space="preserve">Disclosure and functionality of telemedicine services. </w:t>
      </w:r>
      <w:r>
        <w:rPr>
          <w:rFonts w:ascii="Times New Roman" w:hAnsi="Times New Roman"/>
          <w:b w:val="false"/>
          <w:i w:val="false"/>
          <w:color w:val="000000"/>
          <w:sz w:val="22"/>
        </w:rPr>
        <w:t>A licensee who uses telemedicine shall ensure that the following information is clearly disclosed to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Types of services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Contact information for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Identity, licensure, certification, credentials, and qualifications of all health care providers who are providing the telemedicine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Limitations in the drugs and services that can be provided via telemedicine;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Fees for services, cost-sharing responsibilities, and how payment is to be made, if these differ from an in-person encounter;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Financial interests, other than fees charged, in any information, products, or services provided by the licensee(s);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Appropriate uses and limitations of the technologies, including in emergency situations;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Uses of and response times for emails, electronic messages and other communications transmitted via telemedicine technologies;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To whom patient health information may be disclosed and for what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Rights of patients with respect to patient health information;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Information collected and passive tracking mechanisms utilized.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655.9(18)</w:t>
      </w:r>
      <w:r>
        <w:rPr>
          <w:rFonts w:ascii="Times New Roman" w:hAnsi="Times New Roman"/>
          <w:b w:val="false"/>
          <w:i w:val="false"/>
          <w:color w:val="000000"/>
          <w:sz w:val="22"/>
        </w:rPr>
        <w:t> </w:t>
      </w:r>
      <w:r>
        <w:rPr>
          <w:rFonts w:ascii="Times New Roman" w:hAnsi="Times New Roman"/>
          <w:b w:val="false"/>
          <w:i/>
          <w:color w:val="000000"/>
          <w:sz w:val="22"/>
        </w:rPr>
        <w:t xml:space="preserve">Patient access and feedback. </w:t>
      </w:r>
      <w:r>
        <w:rPr>
          <w:rFonts w:ascii="Times New Roman" w:hAnsi="Times New Roman"/>
          <w:b w:val="false"/>
          <w:i w:val="false"/>
          <w:color w:val="000000"/>
          <w:sz w:val="22"/>
        </w:rPr>
        <w:t>A licensee who uses telemedicine shall ensure that the patient has easy access to a mechanism for the following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 access, supplement and amend patient-provided personal health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provide feedback regarding the quality of the telemedicine services provided;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register complaints. The mechanism shall include information regarding the filing of complaints with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655.9(19)</w:t>
      </w:r>
      <w:r>
        <w:rPr>
          <w:rFonts w:ascii="Times New Roman" w:hAnsi="Times New Roman"/>
          <w:b w:val="false"/>
          <w:i w:val="false"/>
          <w:color w:val="000000"/>
          <w:sz w:val="22"/>
        </w:rPr>
        <w:t> </w:t>
      </w:r>
      <w:r>
        <w:rPr>
          <w:rFonts w:ascii="Times New Roman" w:hAnsi="Times New Roman"/>
          <w:b w:val="false"/>
          <w:i/>
          <w:color w:val="000000"/>
          <w:sz w:val="22"/>
        </w:rPr>
        <w:t xml:space="preserve">Financial interests. </w:t>
      </w:r>
      <w:r>
        <w:rPr>
          <w:rFonts w:ascii="Times New Roman" w:hAnsi="Times New Roman"/>
          <w:b w:val="false"/>
          <w:i w:val="false"/>
          <w:color w:val="000000"/>
          <w:sz w:val="22"/>
        </w:rPr>
        <w:t>Advertising or promotion of goods or products from which the licensee(s) receives direct remuneration, benefit or incentives (other than the fees for the medical services) is prohibited to the extent that such activities are prohibited by state or federal law. Notwithstanding such prohibition, Internet services may provide links to general health information sites to enhance education; however, the licensee(s) should not benefit financially from providing such links or from the services or products marketed by such links. When providing links to other sites, licensees should be aware of the implied endorsement of the information, services or products offered from such sites. The maintenance of a preferred relationship with any pharmacy is prohibited. Licensees shall not transmit prescriptions to a specific pharmacy, or recommend a pharmacy, in exchange for any type of consideration or benefit from the pharmacy.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655.9(20)</w:t>
      </w:r>
      <w:r>
        <w:rPr>
          <w:rFonts w:ascii="Times New Roman" w:hAnsi="Times New Roman"/>
          <w:b w:val="false"/>
          <w:i w:val="false"/>
          <w:color w:val="000000"/>
          <w:sz w:val="22"/>
        </w:rPr>
        <w:t> </w:t>
      </w:r>
      <w:r>
        <w:rPr>
          <w:rFonts w:ascii="Times New Roman" w:hAnsi="Times New Roman"/>
          <w:b w:val="false"/>
          <w:i/>
          <w:color w:val="000000"/>
          <w:sz w:val="22"/>
        </w:rPr>
        <w:t xml:space="preserve">Circumstances where the standard of care may not require a licensee to personally interview or examine a patient. </w:t>
      </w:r>
      <w:r>
        <w:rPr>
          <w:rFonts w:ascii="Times New Roman" w:hAnsi="Times New Roman"/>
          <w:b w:val="false"/>
          <w:i w:val="false"/>
          <w:color w:val="000000"/>
          <w:sz w:val="22"/>
        </w:rPr>
        <w:t>Under the following circumstances, whether or not such circumstances involve the use of telemedicine, a licensee may treat a patient who has not been personally interviewed, examined and diagnosed by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Situations in which the licensee prescribes medications on a short-term basis for a new patient and has scheduled or is in the process of scheduling an appointment to personally examine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institutional settings, including writing initial admission orders for a newly hospitalized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Call situations in which a licensee is taking call for another licensee who has an established physician-patient relationship with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Cross-coverage situations in which a licensee is taking call for another licensee who has an established physician-patient relationship with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Situations in which the patient has been examined in person by an advanced registered nurse practitioner or a physician assistant or other licensed practitioner with whom the licensee has a supervisory or collaborative relationship;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Emergency situations in which the life or health of the patient is in imminent danger;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Emergency situations that constitute an immediate threat to the public health including but not limited to empiric treatment or prophylaxis to prevent or control an infectious disease outbreak;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Situations in which the licensee has diagnosed a sexually transmitted disease in a patient and the licensee prescribes or dispenses antibiotics to the patient’s named sexual partner(s) for the treatment of the sexually transmitted disease as recommended by the U.S. Centers for Disease Control and Prevention;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For licensed or certified nursing facilities, residential care facilities, intermediate care facilities, assisted living facilities and hospice settings.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655.9(21)</w:t>
      </w:r>
      <w:r>
        <w:rPr>
          <w:rFonts w:ascii="Times New Roman" w:hAnsi="Times New Roman"/>
          <w:b w:val="false"/>
          <w:i w:val="false"/>
          <w:color w:val="000000"/>
          <w:sz w:val="22"/>
        </w:rPr>
        <w:t> </w:t>
      </w:r>
      <w:r>
        <w:rPr>
          <w:rFonts w:ascii="Times New Roman" w:hAnsi="Times New Roman"/>
          <w:b w:val="false"/>
          <w:i/>
          <w:color w:val="000000"/>
          <w:sz w:val="22"/>
        </w:rPr>
        <w:t xml:space="preserve">Prescribing based solely on an Internet request, Internet questionnaire or a telephonic evaluation—prohibited. </w:t>
      </w:r>
      <w:r>
        <w:rPr>
          <w:rFonts w:ascii="Times New Roman" w:hAnsi="Times New Roman"/>
          <w:b w:val="false"/>
          <w:i w:val="false"/>
          <w:color w:val="000000"/>
          <w:sz w:val="22"/>
        </w:rPr>
        <w:t xml:space="preserve">Prescribing to a patient based solely on an Internet request or Internet questionnaire (i.e., a static questionnaire provided to a patient, to which the patient responds with a static set of answers, in contrast to an adaptive, interactive and responsive online interview) is prohibited. Absent a valid physician-patient relationship, a licensee’s prescribing to a patient based solely on a telephonic evaluation is prohibited, with the exception of the circumstances described in subrule </w:t>
      </w:r>
      <w:hyperlink r:id="rId26">
        <w:r>
          <w:rPr>
            <w:rStyle w:val="Hyperlink"/>
            <w:rFonts w:ascii="Times New Roman" w:hAnsi="Times New Roman"/>
            <w:b w:val="false"/>
            <w:i w:val="false"/>
            <w:color w:val="000000"/>
            <w:sz w:val="22"/>
          </w:rPr>
          <w:t>655.9(20)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9115C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481—655.10</w:t>
      </w:r>
      <w:r>
        <w:rPr>
          <w:rFonts w:ascii="Times New Roman" w:hAnsi="Times New Roman"/>
          <w:b/>
          <w:i w:val="false"/>
          <w:color w:val="000000"/>
          <w:sz w:val="22"/>
        </w:rPr>
        <w:t xml:space="preserve">(135,147,148,272C,280) </w:t>
      </w:r>
      <w:r>
        <w:rPr>
          <w:rFonts w:ascii="Times New Roman" w:hAnsi="Times New Roman"/>
          <w:b/>
          <w:i w:val="false"/>
          <w:color w:val="000000"/>
          <w:sz w:val="22"/>
        </w:rPr>
        <w:t xml:space="preserve">Standards of practice—prescribing epinephrine auto-injectors, bronchodilator canisters, bronchodilator canisters and spacers, or opioid antagonists in the name of an authorized facility.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655.10(1)</w:t>
      </w:r>
      <w:r>
        <w:rPr>
          <w:rFonts w:ascii="Times New Roman" w:hAnsi="Times New Roman"/>
          <w:b w:val="false"/>
          <w:i w:val="false"/>
          <w:color w:val="000000"/>
          <w:sz w:val="22"/>
        </w:rPr>
        <w:t> </w:t>
      </w:r>
      <w:r>
        <w:rPr>
          <w:rFonts w:ascii="Times New Roman" w:hAnsi="Times New Roman"/>
          <w:b w:val="false"/>
          <w:i w:val="false"/>
          <w:color w:val="000000"/>
          <w:sz w:val="22"/>
        </w:rPr>
        <w:t>Definition. For purposes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“Authorized facility” </w:t>
      </w:r>
      <w:r>
        <w:rPr>
          <w:rFonts w:ascii="Times New Roman" w:hAnsi="Times New Roman"/>
          <w:b w:val="false"/>
          <w:i w:val="false"/>
          <w:color w:val="000000"/>
          <w:sz w:val="22"/>
        </w:rPr>
        <w:t xml:space="preserve">means a facility as defined in Iowa Code section </w:t>
      </w:r>
      <w:hyperlink r:id="rId27">
        <w:r>
          <w:rPr>
            <w:rStyle w:val="Hyperlink"/>
            <w:rFonts w:ascii="Times New Roman" w:hAnsi="Times New Roman"/>
            <w:b w:val="false"/>
            <w:i w:val="false"/>
            <w:color w:val="000000"/>
            <w:sz w:val="22"/>
          </w:rPr>
          <w:t>135.185(1)</w:t>
        </w:r>
      </w:hyperlink>
      <w:r>
        <w:rPr>
          <w:rFonts w:ascii="Times New Roman" w:hAnsi="Times New Roman"/>
          <w:b w:val="false"/>
          <w:i w:val="false"/>
          <w:color w:val="000000"/>
          <w:sz w:val="22"/>
        </w:rPr>
        <w:t>, a school district, or an accredited nonpublic school.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655.10(2)</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any other provision of law to the contrary, a physician may prescribe epinephrine auto-injectors, bronchodilator canisters, bronchodilator canisters and spacers, or opioid antagonists in the name of an authorized facility to be maintained for use pursuant to Iowa Code sections </w:t>
      </w:r>
      <w:hyperlink r:id="rId28">
        <w:r>
          <w:rPr>
            <w:rStyle w:val="Hyperlink"/>
            <w:rFonts w:ascii="Times New Roman" w:hAnsi="Times New Roman"/>
            <w:b w:val="false"/>
            <w:i w:val="false"/>
            <w:color w:val="000000"/>
            <w:sz w:val="22"/>
          </w:rPr>
          <w:t>135.185</w:t>
        </w:r>
      </w:hyperlink>
      <w:r>
        <w:rPr>
          <w:rFonts w:ascii="Times New Roman" w:hAnsi="Times New Roman"/>
          <w:b w:val="false"/>
          <w:i w:val="false"/>
          <w:color w:val="000000"/>
          <w:sz w:val="22"/>
        </w:rPr>
        <w:t xml:space="preserve">, </w:t>
      </w:r>
      <w:hyperlink r:id="rId29">
        <w:r>
          <w:rPr>
            <w:rStyle w:val="Hyperlink"/>
            <w:rFonts w:ascii="Times New Roman" w:hAnsi="Times New Roman"/>
            <w:b w:val="false"/>
            <w:i w:val="false"/>
            <w:color w:val="000000"/>
            <w:sz w:val="22"/>
          </w:rPr>
          <w:t>135.190</w:t>
        </w:r>
      </w:hyperlink>
      <w:r>
        <w:rPr>
          <w:rFonts w:ascii="Times New Roman" w:hAnsi="Times New Roman"/>
          <w:b w:val="false"/>
          <w:i w:val="false"/>
          <w:color w:val="000000"/>
          <w:sz w:val="22"/>
        </w:rPr>
        <w:t xml:space="preserve">, </w:t>
      </w:r>
      <w:hyperlink r:id="rId30">
        <w:r>
          <w:rPr>
            <w:rStyle w:val="Hyperlink"/>
            <w:rFonts w:ascii="Times New Roman" w:hAnsi="Times New Roman"/>
            <w:b w:val="false"/>
            <w:i w:val="false"/>
            <w:color w:val="000000"/>
            <w:sz w:val="22"/>
          </w:rPr>
          <w:t>280.16</w:t>
        </w:r>
      </w:hyperlink>
      <w:r>
        <w:rPr>
          <w:rFonts w:ascii="Times New Roman" w:hAnsi="Times New Roman"/>
          <w:b w:val="false"/>
          <w:i w:val="false"/>
          <w:color w:val="000000"/>
          <w:sz w:val="22"/>
        </w:rPr>
        <w:t xml:space="preserve"> and </w:t>
      </w:r>
      <w:hyperlink r:id="rId31">
        <w:r>
          <w:rPr>
            <w:rStyle w:val="Hyperlink"/>
            <w:rFonts w:ascii="Times New Roman" w:hAnsi="Times New Roman"/>
            <w:b w:val="false"/>
            <w:i w:val="false"/>
            <w:color w:val="000000"/>
            <w:sz w:val="22"/>
          </w:rPr>
          <w:t>280.16A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655.10(3)</w:t>
      </w:r>
      <w:r>
        <w:rPr>
          <w:rFonts w:ascii="Times New Roman" w:hAnsi="Times New Roman"/>
          <w:b w:val="false"/>
          <w:i w:val="false"/>
          <w:color w:val="000000"/>
          <w:sz w:val="22"/>
        </w:rPr>
        <w:t> </w:t>
      </w:r>
      <w:r>
        <w:rPr>
          <w:rFonts w:ascii="Times New Roman" w:hAnsi="Times New Roman"/>
          <w:b w:val="false"/>
          <w:i w:val="false"/>
          <w:color w:val="000000"/>
          <w:sz w:val="22"/>
        </w:rPr>
        <w:t xml:space="preserve">A physician who prescribes epinephrine auto-injectors, bronchodilator canisters, bronchodilator canisters and spacers, or opioid antagonists in the name of an authorized facility to be maintained for use pursuant to Iowa Code sections </w:t>
      </w:r>
      <w:hyperlink r:id="rId32">
        <w:r>
          <w:rPr>
            <w:rStyle w:val="Hyperlink"/>
            <w:rFonts w:ascii="Times New Roman" w:hAnsi="Times New Roman"/>
            <w:b w:val="false"/>
            <w:i w:val="false"/>
            <w:color w:val="000000"/>
            <w:sz w:val="22"/>
          </w:rPr>
          <w:t>135.185</w:t>
        </w:r>
      </w:hyperlink>
      <w:r>
        <w:rPr>
          <w:rFonts w:ascii="Times New Roman" w:hAnsi="Times New Roman"/>
          <w:b w:val="false"/>
          <w:i w:val="false"/>
          <w:color w:val="000000"/>
          <w:sz w:val="22"/>
        </w:rPr>
        <w:t xml:space="preserve">, </w:t>
      </w:r>
      <w:hyperlink r:id="rId33">
        <w:r>
          <w:rPr>
            <w:rStyle w:val="Hyperlink"/>
            <w:rFonts w:ascii="Times New Roman" w:hAnsi="Times New Roman"/>
            <w:b w:val="false"/>
            <w:i w:val="false"/>
            <w:color w:val="000000"/>
            <w:sz w:val="22"/>
          </w:rPr>
          <w:t>135.190</w:t>
        </w:r>
      </w:hyperlink>
      <w:r>
        <w:rPr>
          <w:rFonts w:ascii="Times New Roman" w:hAnsi="Times New Roman"/>
          <w:b w:val="false"/>
          <w:i w:val="false"/>
          <w:color w:val="000000"/>
          <w:sz w:val="22"/>
        </w:rPr>
        <w:t xml:space="preserve">, </w:t>
      </w:r>
      <w:hyperlink r:id="rId34">
        <w:r>
          <w:rPr>
            <w:rStyle w:val="Hyperlink"/>
            <w:rFonts w:ascii="Times New Roman" w:hAnsi="Times New Roman"/>
            <w:b w:val="false"/>
            <w:i w:val="false"/>
            <w:color w:val="000000"/>
            <w:sz w:val="22"/>
          </w:rPr>
          <w:t>280.16</w:t>
        </w:r>
      </w:hyperlink>
      <w:r>
        <w:rPr>
          <w:rFonts w:ascii="Times New Roman" w:hAnsi="Times New Roman"/>
          <w:b w:val="false"/>
          <w:i w:val="false"/>
          <w:color w:val="000000"/>
          <w:sz w:val="22"/>
        </w:rPr>
        <w:t xml:space="preserve"> and </w:t>
      </w:r>
      <w:hyperlink r:id="rId35">
        <w:r>
          <w:rPr>
            <w:rStyle w:val="Hyperlink"/>
            <w:rFonts w:ascii="Times New Roman" w:hAnsi="Times New Roman"/>
            <w:b w:val="false"/>
            <w:i w:val="false"/>
            <w:color w:val="000000"/>
            <w:sz w:val="22"/>
          </w:rPr>
          <w:t>280.16A</w:t>
        </w:r>
      </w:hyperlink>
      <w:r>
        <w:rPr>
          <w:rFonts w:ascii="Times New Roman" w:hAnsi="Times New Roman"/>
          <w:b w:val="false"/>
          <w:i w:val="false"/>
          <w:color w:val="000000"/>
          <w:sz w:val="22"/>
        </w:rPr>
        <w:t>, provided the physician has acted reasonably and in good faith, is not liable for any injury arising from the provision, administration, or assistance in the administration of an epinephrine auto-injector, bronchodilator canisters, bronchodilator canisters and spacers, or opioid antagonists.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9115C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481—655.11</w:t>
      </w:r>
      <w:r>
        <w:rPr>
          <w:rFonts w:ascii="Times New Roman" w:hAnsi="Times New Roman"/>
          <w:b/>
          <w:i w:val="false"/>
          <w:color w:val="000000"/>
          <w:sz w:val="22"/>
        </w:rPr>
        <w:t xml:space="preserve">(144E,147,148,272C) </w:t>
      </w:r>
      <w:r>
        <w:rPr>
          <w:rFonts w:ascii="Times New Roman" w:hAnsi="Times New Roman"/>
          <w:b/>
          <w:i w:val="false"/>
          <w:color w:val="000000"/>
          <w:sz w:val="22"/>
        </w:rPr>
        <w:t xml:space="preserve">Standards of practice—experimental treatments for patients with a terminal illness.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655.11(1)</w:t>
      </w:r>
      <w:r>
        <w:rPr>
          <w:rFonts w:ascii="Times New Roman" w:hAnsi="Times New Roman"/>
          <w:b w:val="false"/>
          <w:i w:val="false"/>
          <w:color w:val="000000"/>
          <w:sz w:val="22"/>
        </w:rPr>
        <w:t> </w:t>
      </w:r>
      <w:r>
        <w:rPr>
          <w:rFonts w:ascii="Times New Roman" w:hAnsi="Times New Roman"/>
          <w:b w:val="false"/>
          <w:i/>
          <w:color w:val="000000"/>
          <w:sz w:val="22"/>
        </w:rPr>
        <w:t xml:space="preserve">Exemption from discipline. </w:t>
      </w:r>
      <w:r>
        <w:rPr>
          <w:rFonts w:ascii="Times New Roman" w:hAnsi="Times New Roman"/>
          <w:b w:val="false"/>
          <w:i w:val="false"/>
          <w:color w:val="000000"/>
          <w:sz w:val="22"/>
        </w:rPr>
        <w:t>To the extent consistent with state law, the board will not revoke, fail to renew, suspend, or take any action against a physician’s license based solely on the physician’s recommendations to an eligible patient regarding access to or treatment with an investigational drug, biological product, or device.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655.11(2)</w:t>
      </w:r>
      <w:r>
        <w:rPr>
          <w:rFonts w:ascii="Times New Roman" w:hAnsi="Times New Roman"/>
          <w:b w:val="false"/>
          <w:i w:val="false"/>
          <w:color w:val="000000"/>
          <w:sz w:val="22"/>
        </w:rPr>
        <w:t> </w:t>
      </w:r>
      <w:r>
        <w:rPr>
          <w:rFonts w:ascii="Times New Roman" w:hAnsi="Times New Roman"/>
          <w:b w:val="false"/>
          <w:i/>
          <w:color w:val="000000"/>
          <w:sz w:val="22"/>
        </w:rPr>
        <w:t xml:space="preserve">Eligible patient. </w:t>
      </w:r>
      <w:r>
        <w:rPr>
          <w:rFonts w:ascii="Times New Roman" w:hAnsi="Times New Roman"/>
          <w:b w:val="false"/>
          <w:i w:val="false"/>
          <w:color w:val="000000"/>
          <w:sz w:val="22"/>
        </w:rPr>
        <w:t>A physician shall ensure that a patient meets all of the following conditions prior to the use of an investigational drug, biological product, or device pursuant to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patient has a terminal illness, attested to by the patient’s treating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patient has considered and rejected or has tried and failed to respond to all other treatment options approved by the U.S. Food and Drug Administration (FDA).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patient has received a recommendation from the patient’s physician for an investigational drug, biological product, or device.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patient has given written informed consent for the use of the investigational drug, biological product, or device.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patient has documentation from the patient’s physician that the patient meets the requirements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655.11(3)</w:t>
      </w:r>
      <w:r>
        <w:rPr>
          <w:rFonts w:ascii="Times New Roman" w:hAnsi="Times New Roman"/>
          <w:b w:val="false"/>
          <w:i w:val="false"/>
          <w:color w:val="000000"/>
          <w:sz w:val="22"/>
        </w:rPr>
        <w:t> </w:t>
      </w:r>
      <w:r>
        <w:rPr>
          <w:rFonts w:ascii="Times New Roman" w:hAnsi="Times New Roman"/>
          <w:b w:val="false"/>
          <w:i/>
          <w:color w:val="000000"/>
          <w:sz w:val="22"/>
        </w:rPr>
        <w:t xml:space="preserve">Investigational drug, biological product, or device. </w:t>
      </w:r>
      <w:r>
        <w:rPr>
          <w:rFonts w:ascii="Times New Roman" w:hAnsi="Times New Roman"/>
          <w:b w:val="false"/>
          <w:i w:val="false"/>
          <w:color w:val="000000"/>
          <w:sz w:val="22"/>
        </w:rPr>
        <w:t>A physician may recommend access to or treatment with an investigational drug, biological product, or device that has successfully completed phase 1 of an FDA-approved clinical trial but has not yet been approved for general use by the FDA and remains under investigation in an FDA-approved clinical trial.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655.11(4)</w:t>
      </w:r>
      <w:r>
        <w:rPr>
          <w:rFonts w:ascii="Times New Roman" w:hAnsi="Times New Roman"/>
          <w:b w:val="false"/>
          <w:i w:val="false"/>
          <w:color w:val="000000"/>
          <w:sz w:val="22"/>
        </w:rPr>
        <w:t> </w:t>
      </w:r>
      <w:r>
        <w:rPr>
          <w:rFonts w:ascii="Times New Roman" w:hAnsi="Times New Roman"/>
          <w:b w:val="false"/>
          <w:i/>
          <w:color w:val="000000"/>
          <w:sz w:val="22"/>
        </w:rPr>
        <w:t xml:space="preserve">Terminal illness. </w:t>
      </w:r>
      <w:r>
        <w:rPr>
          <w:rFonts w:ascii="Times New Roman" w:hAnsi="Times New Roman"/>
          <w:b w:val="false"/>
          <w:i w:val="false"/>
          <w:color w:val="000000"/>
          <w:sz w:val="22"/>
        </w:rPr>
        <w:t>A physician shall ensure that a patient has a terminal illness prior to the use of an investigational drug, biological product, or device pursuant to this rule. A terminal illness is a progressive disease or medical or surgical condition that entails significant functional impairment and that is not considered by a treating physician to be reversible even with administration of treatments approved by the FDA and that, without life-sustaining procedures, will result in death.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655.11(5)</w:t>
      </w:r>
      <w:r>
        <w:rPr>
          <w:rFonts w:ascii="Times New Roman" w:hAnsi="Times New Roman"/>
          <w:b w:val="false"/>
          <w:i w:val="false"/>
          <w:color w:val="000000"/>
          <w:sz w:val="22"/>
        </w:rPr>
        <w:t> </w:t>
      </w:r>
      <w:r>
        <w:rPr>
          <w:rFonts w:ascii="Times New Roman" w:hAnsi="Times New Roman"/>
          <w:b w:val="false"/>
          <w:i/>
          <w:color w:val="000000"/>
          <w:sz w:val="22"/>
        </w:rPr>
        <w:t xml:space="preserve">Written informed consent. </w:t>
      </w:r>
      <w:r>
        <w:rPr>
          <w:rFonts w:ascii="Times New Roman" w:hAnsi="Times New Roman"/>
          <w:b w:val="false"/>
          <w:i w:val="false"/>
          <w:color w:val="000000"/>
          <w:sz w:val="22"/>
        </w:rPr>
        <w:t>A physician shall obtain written informed consent prior to the use of an investigational drug, biological product, or device pursuant to this rule. Written informed consent is a written document that is signed by a patient, a parent of a minor patient, or a legal guardian or other legal representative of the patient and attested to by the patient’s treating physician and a witness and that includes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explanation of the products and treatments approved by the FDA for the disease or condition from which the patient suffers.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attestation that the patient concurs with the patient’s treating physician in believing that all products and treatments approved by the FDA are unlikely to prolong the patient’s life.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Clear identification of the specific proposed investigational drug, biological product, or device that the patient is seeking to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description of the best and worst potential outcomes of using the investigational drug, biological product, or device and a realistic description of the most likely outcome. The description to include the possibility that new, unanticipated, different, or worse symptoms might result and that death could be hastened by use of the proposed investigational drug, biological product, or device. The description is based on the treating physician’s knowledge of the proposed investigational drug, biological product, or device in conjunction with an awareness of the patient’s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statement that the patient’s health plan or third-party administrator and provider are not obligated to pay for any care or treatments consequent to the use of the investigational drug, biological product, or device, unless the patient’s health plan or third-party administrator and provider are specifically required to do so by law or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statement that the patient’s eligibility for hospice care may be withdrawn if the patient begins curative treatment with the investigational drug, biological product, or device and that hospice care may be reinstated if treatment ends and the patient meets hospice eligibility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statement that the patient understands that the patient is liable for all expenses consequent to the use of the investigational drug, biological product, or device and that this liability extends to the patient’s estate unless a contract between the patient and the manufacturer of the investigational drug, biological product, or device states otherwise.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655.11(6)</w:t>
      </w:r>
      <w:r>
        <w:rPr>
          <w:rFonts w:ascii="Times New Roman" w:hAnsi="Times New Roman"/>
          <w:b w:val="false"/>
          <w:i w:val="false"/>
          <w:color w:val="000000"/>
          <w:sz w:val="22"/>
        </w:rPr>
        <w:t> </w:t>
      </w:r>
      <w:r>
        <w:rPr>
          <w:rFonts w:ascii="Times New Roman" w:hAnsi="Times New Roman"/>
          <w:b w:val="false"/>
          <w:i/>
          <w:color w:val="000000"/>
          <w:sz w:val="22"/>
        </w:rPr>
        <w:t xml:space="preserve">Assisting suicide. </w:t>
      </w:r>
      <w:r>
        <w:rPr>
          <w:rFonts w:ascii="Times New Roman" w:hAnsi="Times New Roman"/>
          <w:b w:val="false"/>
          <w:i w:val="false"/>
          <w:color w:val="000000"/>
          <w:sz w:val="22"/>
        </w:rPr>
        <w:t xml:space="preserve">This rule is not to be construed to allow a patient’s treating physician to assist the patient in committing or attempting to commit suicide as prohibited in Iowa Code section </w:t>
      </w:r>
      <w:hyperlink r:id="rId36">
        <w:r>
          <w:rPr>
            <w:rStyle w:val="Hyperlink"/>
            <w:rFonts w:ascii="Times New Roman" w:hAnsi="Times New Roman"/>
            <w:b w:val="false"/>
            <w:i w:val="false"/>
            <w:color w:val="000000"/>
            <w:sz w:val="22"/>
          </w:rPr>
          <w:t>707A.2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655.11(7)</w:t>
      </w:r>
      <w:r>
        <w:rPr>
          <w:rFonts w:ascii="Times New Roman" w:hAnsi="Times New Roman"/>
          <w:b w:val="false"/>
          <w:i w:val="false"/>
          <w:color w:val="000000"/>
          <w:sz w:val="22"/>
        </w:rPr>
        <w:t> </w:t>
      </w:r>
      <w:r>
        <w:rPr>
          <w:rFonts w:ascii="Times New Roman" w:hAnsi="Times New Roman"/>
          <w:b w:val="false"/>
          <w:i/>
          <w:color w:val="000000"/>
          <w:sz w:val="22"/>
        </w:rPr>
        <w:t xml:space="preserve">Grounds for discipline. </w:t>
      </w:r>
      <w:r>
        <w:rPr>
          <w:rFonts w:ascii="Times New Roman" w:hAnsi="Times New Roman"/>
          <w:b w:val="false"/>
          <w:i w:val="false"/>
          <w:color w:val="000000"/>
          <w:sz w:val="22"/>
        </w:rPr>
        <w:t xml:space="preserve">A physician may be subject to disciplinary action for violation of this rule or </w:t>
      </w:r>
      <w:hyperlink r:id="rId37">
        <w:r>
          <w:rPr>
            <w:rStyle w:val="Hyperlink"/>
            <w:rFonts w:ascii="Times New Roman" w:hAnsi="Times New Roman"/>
            <w:b w:val="false"/>
            <w:i w:val="false"/>
            <w:color w:val="000000"/>
            <w:sz w:val="22"/>
          </w:rPr>
          <w:t>481—Chapter 661</w:t>
        </w:r>
      </w:hyperlink>
      <w:r>
        <w:rPr>
          <w:rFonts w:ascii="Times New Roman" w:hAnsi="Times New Roman"/>
          <w:b w:val="false"/>
          <w:i w:val="false"/>
          <w:color w:val="000000"/>
          <w:sz w:val="22"/>
        </w:rPr>
        <w:t>. Grounds for discipline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physician recommends access to or treatment with an investigational drug, biological product, or device to an individual who is not an eligible patient pursuant to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physician fails to obtain appropriate written informed consent prior to recommending access to or treatment with an investigational drug, biological product, or device pursuant to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physician assists the patient in committing or attempting to commit suicide as prohibited in Iowa Code section </w:t>
      </w:r>
      <w:hyperlink r:id="rId38">
        <w:r>
          <w:rPr>
            <w:rStyle w:val="Hyperlink"/>
            <w:rFonts w:ascii="Times New Roman" w:hAnsi="Times New Roman"/>
            <w:b w:val="false"/>
            <w:i w:val="false"/>
            <w:color w:val="000000"/>
            <w:sz w:val="22"/>
          </w:rPr>
          <w:t>707A.2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9115C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481—655.12</w:t>
      </w:r>
      <w:r>
        <w:rPr>
          <w:rFonts w:ascii="Times New Roman" w:hAnsi="Times New Roman"/>
          <w:b/>
          <w:i w:val="false"/>
          <w:color w:val="000000"/>
          <w:sz w:val="22"/>
        </w:rPr>
        <w:t xml:space="preserve">(147,148,272C) </w:t>
      </w:r>
      <w:r>
        <w:rPr>
          <w:rFonts w:ascii="Times New Roman" w:hAnsi="Times New Roman"/>
          <w:b/>
          <w:i w:val="false"/>
          <w:color w:val="000000"/>
          <w:sz w:val="22"/>
        </w:rPr>
        <w:t xml:space="preserve">Standards of practice—tick-borne disease diagnosis and treatment.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655.12(1)</w:t>
      </w:r>
      <w:r>
        <w:rPr>
          <w:rFonts w:ascii="Times New Roman" w:hAnsi="Times New Roman"/>
          <w:b w:val="false"/>
          <w:i w:val="false"/>
          <w:color w:val="000000"/>
          <w:sz w:val="22"/>
        </w:rPr>
        <w:t> </w:t>
      </w:r>
      <w:r>
        <w:rPr>
          <w:rFonts w:ascii="Times New Roman" w:hAnsi="Times New Roman"/>
          <w:b w:val="false"/>
          <w:i/>
          <w:color w:val="000000"/>
          <w:sz w:val="22"/>
        </w:rPr>
        <w:t xml:space="preserve">Exemption from discipline. </w:t>
      </w:r>
      <w:r>
        <w:rPr>
          <w:rFonts w:ascii="Times New Roman" w:hAnsi="Times New Roman"/>
          <w:b w:val="false"/>
          <w:i w:val="false"/>
          <w:color w:val="000000"/>
          <w:sz w:val="22"/>
        </w:rPr>
        <w:t xml:space="preserve">A person licensed by the board under Iowa Code chapter </w:t>
      </w:r>
      <w:hyperlink r:id="rId39">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 xml:space="preserve"> shall not be subject to discipline under this chapter or the board’s enabling statute based solely on the physician’s recommendation or provision of a treatment method for Lyme disease or other tick-borne disease if the recommendation or provision of such treatment meets all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treatment is provided after an examination is performed and informed consent is received from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physician identifies a medical reason for recommending or providing the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treatment is provided after the physician informs the patient about other recognized treatment options and describes to the patient the physician’s education, experience, and credentials regarding the treatment of Lyme disease or other tick-borne disease.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physician uses the physician’s own medical judgment based on a thorough review of all available clinical information and Lyme disease or other tick-borne disease literature to determine the best course of treatment for the individual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treatment will not, in the opinion of the physician, result in the direct and proximate death of or serious bodily injury to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655.12(2)</w:t>
      </w:r>
      <w:r>
        <w:rPr>
          <w:rFonts w:ascii="Times New Roman" w:hAnsi="Times New Roman"/>
          <w:b w:val="false"/>
          <w:i w:val="false"/>
          <w:color w:val="000000"/>
          <w:sz w:val="22"/>
        </w:rPr>
        <w:t> </w:t>
      </w:r>
      <w:r>
        <w:rPr>
          <w:rFonts w:ascii="Times New Roman" w:hAnsi="Times New Roman"/>
          <w:b w:val="false"/>
          <w:i/>
          <w:color w:val="000000"/>
          <w:sz w:val="22"/>
        </w:rPr>
        <w:t xml:space="preserve">Lyme disease treatment. </w:t>
      </w:r>
      <w:r>
        <w:rPr>
          <w:rFonts w:ascii="Times New Roman" w:hAnsi="Times New Roman"/>
          <w:b w:val="false"/>
          <w:i w:val="false"/>
          <w:color w:val="000000"/>
          <w:sz w:val="22"/>
        </w:rPr>
        <w:t>Most cases of Lyme disease can be treated successfully with a few weeks of antibiotics. Over the past several years, the International Lyme and Associated Diseases Society (ILADS) has supported longer courses of antibiotics for some patients, versus the prescribed treatment durations identified by the Infectious Diseases Society of America (IDSA) and referenced by the CDC. While IDSA has expressed concern about overtreatment, ILADS points out that treatment decisions should be based on a risk-benefit analysis. Both groups have published evidence-based guidelines.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655.12(3)</w:t>
      </w:r>
      <w:r>
        <w:rPr>
          <w:rFonts w:ascii="Times New Roman" w:hAnsi="Times New Roman"/>
          <w:b w:val="false"/>
          <w:i w:val="false"/>
          <w:color w:val="000000"/>
          <w:sz w:val="22"/>
        </w:rPr>
        <w:t> </w:t>
      </w:r>
      <w:r>
        <w:rPr>
          <w:rFonts w:ascii="Times New Roman" w:hAnsi="Times New Roman"/>
          <w:b w:val="false"/>
          <w:i/>
          <w:color w:val="000000"/>
          <w:sz w:val="22"/>
        </w:rPr>
        <w:t xml:space="preserve">Tick-borne diseases. </w:t>
      </w:r>
      <w:r>
        <w:rPr>
          <w:rFonts w:ascii="Times New Roman" w:hAnsi="Times New Roman"/>
          <w:b w:val="false"/>
          <w:i w:val="false"/>
          <w:color w:val="000000"/>
          <w:sz w:val="22"/>
        </w:rPr>
        <w:t>According to the CDC, tick-borne diseases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Anaplasmosis</w:t>
      </w:r>
      <w:r>
        <w:rPr>
          <w:rFonts w:ascii="Times New Roman" w:hAnsi="Times New Roman"/>
          <w:b w:val="false"/>
          <w:i w:val="false"/>
          <w:color w:val="000000"/>
          <w:sz w:val="22"/>
        </w:rPr>
        <w:t xml:space="preserve"> is transmitted to humans by tick bites primarily from the blacklegged tick (</w:t>
      </w:r>
      <w:r>
        <w:rPr>
          <w:rFonts w:ascii="Times New Roman" w:hAnsi="Times New Roman"/>
          <w:b w:val="false"/>
          <w:i/>
          <w:color w:val="000000"/>
          <w:sz w:val="22"/>
        </w:rPr>
        <w:t>Ixodes scapularis</w:t>
      </w:r>
      <w:r>
        <w:rPr>
          <w:rFonts w:ascii="Times New Roman" w:hAnsi="Times New Roman"/>
          <w:b w:val="false"/>
          <w:i w:val="false"/>
          <w:color w:val="000000"/>
          <w:sz w:val="22"/>
        </w:rPr>
        <w:t>) in the northeastern and upper midwestern regions of the United States (U.S.) and the western blacklegged tick (</w:t>
      </w:r>
      <w:r>
        <w:rPr>
          <w:rFonts w:ascii="Times New Roman" w:hAnsi="Times New Roman"/>
          <w:b w:val="false"/>
          <w:i/>
          <w:color w:val="000000"/>
          <w:sz w:val="22"/>
        </w:rPr>
        <w:t>Ixodes pacificus</w:t>
      </w:r>
      <w:r>
        <w:rPr>
          <w:rFonts w:ascii="Times New Roman" w:hAnsi="Times New Roman"/>
          <w:b w:val="false"/>
          <w:i w:val="false"/>
          <w:color w:val="000000"/>
          <w:sz w:val="22"/>
        </w:rPr>
        <w:t>) along the Pacific coast.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Babesiosis</w:t>
      </w:r>
      <w:r>
        <w:rPr>
          <w:rFonts w:ascii="Times New Roman" w:hAnsi="Times New Roman"/>
          <w:b w:val="false"/>
          <w:i w:val="false"/>
          <w:color w:val="000000"/>
          <w:sz w:val="22"/>
        </w:rPr>
        <w:t xml:space="preserve"> is caused by microscopic parasites that infect red blood cells. Most human cases of babesiosis in the U.S. are caused by </w:t>
      </w:r>
      <w:r>
        <w:rPr>
          <w:rFonts w:ascii="Times New Roman" w:hAnsi="Times New Roman"/>
          <w:b w:val="false"/>
          <w:i/>
          <w:color w:val="000000"/>
          <w:sz w:val="22"/>
        </w:rPr>
        <w:t>Babesia microti</w:t>
      </w:r>
      <w:r>
        <w:rPr>
          <w:rFonts w:ascii="Times New Roman" w:hAnsi="Times New Roman"/>
          <w:b w:val="false"/>
          <w:i w:val="false"/>
          <w:color w:val="000000"/>
          <w:sz w:val="22"/>
        </w:rPr>
        <w:t xml:space="preserve">. </w:t>
      </w:r>
      <w:r>
        <w:rPr>
          <w:rFonts w:ascii="Times New Roman" w:hAnsi="Times New Roman"/>
          <w:b w:val="false"/>
          <w:i/>
          <w:color w:val="000000"/>
          <w:sz w:val="22"/>
        </w:rPr>
        <w:t>Babesia microti</w:t>
      </w:r>
      <w:r>
        <w:rPr>
          <w:rFonts w:ascii="Times New Roman" w:hAnsi="Times New Roman"/>
          <w:b w:val="false"/>
          <w:i w:val="false"/>
          <w:color w:val="000000"/>
          <w:sz w:val="22"/>
        </w:rPr>
        <w:t xml:space="preserve"> is transmitted by the blacklegged tick (</w:t>
      </w:r>
      <w:r>
        <w:rPr>
          <w:rFonts w:ascii="Times New Roman" w:hAnsi="Times New Roman"/>
          <w:b w:val="false"/>
          <w:i/>
          <w:color w:val="000000"/>
          <w:sz w:val="22"/>
        </w:rPr>
        <w:t>Ixodes scapularis</w:t>
      </w:r>
      <w:r>
        <w:rPr>
          <w:rFonts w:ascii="Times New Roman" w:hAnsi="Times New Roman"/>
          <w:b w:val="false"/>
          <w:i w:val="false"/>
          <w:color w:val="000000"/>
          <w:sz w:val="22"/>
        </w:rPr>
        <w:t>) and is found primarily in the northeastern and upper midwestern regions of the 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Borrelia mayonii</w:t>
      </w:r>
      <w:r>
        <w:rPr>
          <w:rFonts w:ascii="Times New Roman" w:hAnsi="Times New Roman"/>
          <w:b w:val="false"/>
          <w:i w:val="false"/>
          <w:color w:val="000000"/>
          <w:sz w:val="22"/>
        </w:rPr>
        <w:t xml:space="preserve"> infection has recently been described as a cause of illness in the upper midwestern region of the U.S. This infection has been found in blacklegged ticks (</w:t>
      </w:r>
      <w:r>
        <w:rPr>
          <w:rFonts w:ascii="Times New Roman" w:hAnsi="Times New Roman"/>
          <w:b w:val="false"/>
          <w:i/>
          <w:color w:val="000000"/>
          <w:sz w:val="22"/>
        </w:rPr>
        <w:t>Ixodes scapularis</w:t>
      </w:r>
      <w:r>
        <w:rPr>
          <w:rFonts w:ascii="Times New Roman" w:hAnsi="Times New Roman"/>
          <w:b w:val="false"/>
          <w:i w:val="false"/>
          <w:color w:val="000000"/>
          <w:sz w:val="22"/>
        </w:rPr>
        <w:t xml:space="preserve">) in Minnesota and Wisconsin. </w:t>
      </w:r>
      <w:r>
        <w:rPr>
          <w:rFonts w:ascii="Times New Roman" w:hAnsi="Times New Roman"/>
          <w:b w:val="false"/>
          <w:i/>
          <w:color w:val="000000"/>
          <w:sz w:val="22"/>
        </w:rPr>
        <w:t>Borrelia mayonii</w:t>
      </w:r>
      <w:r>
        <w:rPr>
          <w:rFonts w:ascii="Times New Roman" w:hAnsi="Times New Roman"/>
          <w:b w:val="false"/>
          <w:i w:val="false"/>
          <w:color w:val="000000"/>
          <w:sz w:val="22"/>
        </w:rPr>
        <w:t xml:space="preserve"> is a new species and is the only species besides </w:t>
      </w:r>
      <w:r>
        <w:rPr>
          <w:rFonts w:ascii="Times New Roman" w:hAnsi="Times New Roman"/>
          <w:b w:val="false"/>
          <w:i/>
          <w:color w:val="000000"/>
          <w:sz w:val="22"/>
        </w:rPr>
        <w:t>B. burgdorferi</w:t>
      </w:r>
      <w:r>
        <w:rPr>
          <w:rFonts w:ascii="Times New Roman" w:hAnsi="Times New Roman"/>
          <w:b w:val="false"/>
          <w:i w:val="false"/>
          <w:color w:val="000000"/>
          <w:sz w:val="22"/>
        </w:rPr>
        <w:t xml:space="preserve"> known to cause Lyme disease in North America.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Borrelia miyamotoi</w:t>
      </w:r>
      <w:r>
        <w:rPr>
          <w:rFonts w:ascii="Times New Roman" w:hAnsi="Times New Roman"/>
          <w:b w:val="false"/>
          <w:i w:val="false"/>
          <w:color w:val="000000"/>
          <w:sz w:val="22"/>
        </w:rPr>
        <w:t xml:space="preserve"> infection has recently been described as a cause of illness in the U.S. This infection is transmitted by the blacklegged tick (</w:t>
      </w:r>
      <w:r>
        <w:rPr>
          <w:rFonts w:ascii="Times New Roman" w:hAnsi="Times New Roman"/>
          <w:b w:val="false"/>
          <w:i/>
          <w:color w:val="000000"/>
          <w:sz w:val="22"/>
        </w:rPr>
        <w:t>Ixodes scapularis</w:t>
      </w:r>
      <w:r>
        <w:rPr>
          <w:rFonts w:ascii="Times New Roman" w:hAnsi="Times New Roman"/>
          <w:b w:val="false"/>
          <w:i w:val="false"/>
          <w:color w:val="000000"/>
          <w:sz w:val="22"/>
        </w:rPr>
        <w:t>) and has a geographic range similar to that of Lyme disease.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Bourbon virus</w:t>
      </w:r>
      <w:r>
        <w:rPr>
          <w:rFonts w:ascii="Times New Roman" w:hAnsi="Times New Roman"/>
          <w:b w:val="false"/>
          <w:i w:val="false"/>
          <w:color w:val="000000"/>
          <w:sz w:val="22"/>
        </w:rPr>
        <w:t xml:space="preserve"> infection has been identified in a limited number of patients in the midwestern and southern regions of the U.S. At this time, it is not known if the virus might be found in other areas of the 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Colorado tick fever</w:t>
      </w:r>
      <w:r>
        <w:rPr>
          <w:rFonts w:ascii="Times New Roman" w:hAnsi="Times New Roman"/>
          <w:b w:val="false"/>
          <w:i w:val="false"/>
          <w:color w:val="000000"/>
          <w:sz w:val="22"/>
        </w:rPr>
        <w:t xml:space="preserve"> is caused by a virus transmitted by the Rocky Mountain wood tick (</w:t>
      </w:r>
      <w:r>
        <w:rPr>
          <w:rFonts w:ascii="Times New Roman" w:hAnsi="Times New Roman"/>
          <w:b w:val="false"/>
          <w:i/>
          <w:color w:val="000000"/>
          <w:sz w:val="22"/>
        </w:rPr>
        <w:t>Dermacentor andersoni</w:t>
      </w:r>
      <w:r>
        <w:rPr>
          <w:rFonts w:ascii="Times New Roman" w:hAnsi="Times New Roman"/>
          <w:b w:val="false"/>
          <w:i w:val="false"/>
          <w:color w:val="000000"/>
          <w:sz w:val="22"/>
        </w:rPr>
        <w:t>). Colorado tick fever occurs in the Rocky Mountain states at elevations of 4,000 to 10,500 feet.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Ehrlichiosis</w:t>
      </w:r>
      <w:r>
        <w:rPr>
          <w:rFonts w:ascii="Times New Roman" w:hAnsi="Times New Roman"/>
          <w:b w:val="false"/>
          <w:i w:val="false"/>
          <w:color w:val="000000"/>
          <w:sz w:val="22"/>
        </w:rPr>
        <w:t xml:space="preserve"> is transmitted to humans by the lone star tick (</w:t>
      </w:r>
      <w:r>
        <w:rPr>
          <w:rFonts w:ascii="Times New Roman" w:hAnsi="Times New Roman"/>
          <w:b w:val="false"/>
          <w:i/>
          <w:color w:val="000000"/>
          <w:sz w:val="22"/>
        </w:rPr>
        <w:t>Amblyomma americanum</w:t>
      </w:r>
      <w:r>
        <w:rPr>
          <w:rFonts w:ascii="Times New Roman" w:hAnsi="Times New Roman"/>
          <w:b w:val="false"/>
          <w:i w:val="false"/>
          <w:color w:val="000000"/>
          <w:sz w:val="22"/>
        </w:rPr>
        <w:t>), found primarily in the south central and eastern regions of the 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Heartland virus</w:t>
      </w:r>
      <w:r>
        <w:rPr>
          <w:rFonts w:ascii="Times New Roman" w:hAnsi="Times New Roman"/>
          <w:b w:val="false"/>
          <w:i w:val="false"/>
          <w:color w:val="000000"/>
          <w:sz w:val="22"/>
        </w:rPr>
        <w:t xml:space="preserve"> cases have been identified in the midwestern and southern regions of the U.S. Studies suggest that lone star ticks (</w:t>
      </w:r>
      <w:r>
        <w:rPr>
          <w:rFonts w:ascii="Times New Roman" w:hAnsi="Times New Roman"/>
          <w:b w:val="false"/>
          <w:i/>
          <w:color w:val="000000"/>
          <w:sz w:val="22"/>
        </w:rPr>
        <w:t>Amblyomma americanum</w:t>
      </w:r>
      <w:r>
        <w:rPr>
          <w:rFonts w:ascii="Times New Roman" w:hAnsi="Times New Roman"/>
          <w:b w:val="false"/>
          <w:i w:val="false"/>
          <w:color w:val="000000"/>
          <w:sz w:val="22"/>
        </w:rPr>
        <w:t>) can transmit the virus. It is unknown if the virus may be found in other areas of the 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Lyme disease</w:t>
      </w:r>
      <w:r>
        <w:rPr>
          <w:rFonts w:ascii="Times New Roman" w:hAnsi="Times New Roman"/>
          <w:b w:val="false"/>
          <w:i w:val="false"/>
          <w:color w:val="000000"/>
          <w:sz w:val="22"/>
        </w:rPr>
        <w:t xml:space="preserve"> is transmitted by the blacklegged tick (</w:t>
      </w:r>
      <w:r>
        <w:rPr>
          <w:rFonts w:ascii="Times New Roman" w:hAnsi="Times New Roman"/>
          <w:b w:val="false"/>
          <w:i/>
          <w:color w:val="000000"/>
          <w:sz w:val="22"/>
        </w:rPr>
        <w:t>Ixodes scapularis</w:t>
      </w:r>
      <w:r>
        <w:rPr>
          <w:rFonts w:ascii="Times New Roman" w:hAnsi="Times New Roman"/>
          <w:b w:val="false"/>
          <w:i w:val="false"/>
          <w:color w:val="000000"/>
          <w:sz w:val="22"/>
        </w:rPr>
        <w:t>) in the northeastern and upper midwestern regions of the U.S. and by the western blacklegged tick (</w:t>
      </w:r>
      <w:r>
        <w:rPr>
          <w:rFonts w:ascii="Times New Roman" w:hAnsi="Times New Roman"/>
          <w:b w:val="false"/>
          <w:i/>
          <w:color w:val="000000"/>
          <w:sz w:val="22"/>
        </w:rPr>
        <w:t>Ixodes pacificus</w:t>
      </w:r>
      <w:r>
        <w:rPr>
          <w:rFonts w:ascii="Times New Roman" w:hAnsi="Times New Roman"/>
          <w:b w:val="false"/>
          <w:i w:val="false"/>
          <w:color w:val="000000"/>
          <w:sz w:val="22"/>
        </w:rPr>
        <w:t>) along the Pacific coast.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Powassan disease</w:t>
      </w:r>
      <w:r>
        <w:rPr>
          <w:rFonts w:ascii="Times New Roman" w:hAnsi="Times New Roman"/>
          <w:b w:val="false"/>
          <w:i w:val="false"/>
          <w:color w:val="000000"/>
          <w:sz w:val="22"/>
        </w:rPr>
        <w:t xml:space="preserve"> is transmitted by the blacklegged tick (</w:t>
      </w:r>
      <w:r>
        <w:rPr>
          <w:rFonts w:ascii="Times New Roman" w:hAnsi="Times New Roman"/>
          <w:b w:val="false"/>
          <w:i/>
          <w:color w:val="000000"/>
          <w:sz w:val="22"/>
        </w:rPr>
        <w:t>Ixodes scapularis</w:t>
      </w:r>
      <w:r>
        <w:rPr>
          <w:rFonts w:ascii="Times New Roman" w:hAnsi="Times New Roman"/>
          <w:b w:val="false"/>
          <w:i w:val="false"/>
          <w:color w:val="000000"/>
          <w:sz w:val="22"/>
        </w:rPr>
        <w:t>) and the groundhog tick (</w:t>
      </w:r>
      <w:r>
        <w:rPr>
          <w:rFonts w:ascii="Times New Roman" w:hAnsi="Times New Roman"/>
          <w:b w:val="false"/>
          <w:i/>
          <w:color w:val="000000"/>
          <w:sz w:val="22"/>
        </w:rPr>
        <w:t>Ixodes cookei</w:t>
      </w:r>
      <w:r>
        <w:rPr>
          <w:rFonts w:ascii="Times New Roman" w:hAnsi="Times New Roman"/>
          <w:b w:val="false"/>
          <w:i w:val="false"/>
          <w:color w:val="000000"/>
          <w:sz w:val="22"/>
        </w:rPr>
        <w:t>). Cases have been reported primarily from northeastern states and the Great Lakes region.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color w:val="000000"/>
          <w:sz w:val="22"/>
        </w:rPr>
        <w:t>Rickettsia parkeri rickettsiosis</w:t>
      </w:r>
      <w:r>
        <w:rPr>
          <w:rFonts w:ascii="Times New Roman" w:hAnsi="Times New Roman"/>
          <w:b w:val="false"/>
          <w:i w:val="false"/>
          <w:color w:val="000000"/>
          <w:sz w:val="22"/>
        </w:rPr>
        <w:t xml:space="preserve"> is transmitted to humans by the Gulf Coast tick (</w:t>
      </w:r>
      <w:r>
        <w:rPr>
          <w:rFonts w:ascii="Times New Roman" w:hAnsi="Times New Roman"/>
          <w:b w:val="false"/>
          <w:i/>
          <w:color w:val="000000"/>
          <w:sz w:val="22"/>
        </w:rPr>
        <w:t>Amblyomma maculatum</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color w:val="000000"/>
          <w:sz w:val="22"/>
        </w:rPr>
        <w:t>Rocky Mountain spotted fever</w:t>
      </w:r>
      <w:r>
        <w:rPr>
          <w:rFonts w:ascii="Times New Roman" w:hAnsi="Times New Roman"/>
          <w:b w:val="false"/>
          <w:i w:val="false"/>
          <w:color w:val="000000"/>
          <w:sz w:val="22"/>
        </w:rPr>
        <w:t xml:space="preserve"> is transmitted by the American dog tick (</w:t>
      </w:r>
      <w:r>
        <w:rPr>
          <w:rFonts w:ascii="Times New Roman" w:hAnsi="Times New Roman"/>
          <w:b w:val="false"/>
          <w:i/>
          <w:color w:val="000000"/>
          <w:sz w:val="22"/>
        </w:rPr>
        <w:t>Dermacentor variabilis</w:t>
      </w:r>
      <w:r>
        <w:rPr>
          <w:rFonts w:ascii="Times New Roman" w:hAnsi="Times New Roman"/>
          <w:b w:val="false"/>
          <w:i w:val="false"/>
          <w:color w:val="000000"/>
          <w:sz w:val="22"/>
        </w:rPr>
        <w:t>), Rocky Mountain wood tick (</w:t>
      </w:r>
      <w:r>
        <w:rPr>
          <w:rFonts w:ascii="Times New Roman" w:hAnsi="Times New Roman"/>
          <w:b w:val="false"/>
          <w:i/>
          <w:color w:val="000000"/>
          <w:sz w:val="22"/>
        </w:rPr>
        <w:t>Dermacentor andersoni</w:t>
      </w:r>
      <w:r>
        <w:rPr>
          <w:rFonts w:ascii="Times New Roman" w:hAnsi="Times New Roman"/>
          <w:b w:val="false"/>
          <w:i w:val="false"/>
          <w:color w:val="000000"/>
          <w:sz w:val="22"/>
        </w:rPr>
        <w:t>), and the brown dog tick (</w:t>
      </w:r>
      <w:r>
        <w:rPr>
          <w:rFonts w:ascii="Times New Roman" w:hAnsi="Times New Roman"/>
          <w:b w:val="false"/>
          <w:i/>
          <w:color w:val="000000"/>
          <w:sz w:val="22"/>
        </w:rPr>
        <w:t>Rhipicephalus sanguineus</w:t>
      </w:r>
      <w:r>
        <w:rPr>
          <w:rFonts w:ascii="Times New Roman" w:hAnsi="Times New Roman"/>
          <w:b w:val="false"/>
          <w:i w:val="false"/>
          <w:color w:val="000000"/>
          <w:sz w:val="22"/>
        </w:rPr>
        <w:t>) in the U.S. The brown dog tick and other tick species are associated with Rocky Mountain spotted fever in Central America and South America.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color w:val="000000"/>
          <w:sz w:val="22"/>
        </w:rPr>
        <w:t>Southern tick-associated rash illness</w:t>
      </w:r>
      <w:r>
        <w:rPr>
          <w:rFonts w:ascii="Times New Roman" w:hAnsi="Times New Roman"/>
          <w:b w:val="false"/>
          <w:i w:val="false"/>
          <w:color w:val="000000"/>
          <w:sz w:val="22"/>
        </w:rPr>
        <w:t xml:space="preserve"> is transmitted via bites from the lone star tick (</w:t>
      </w:r>
      <w:r>
        <w:rPr>
          <w:rFonts w:ascii="Times New Roman" w:hAnsi="Times New Roman"/>
          <w:b w:val="false"/>
          <w:i/>
          <w:color w:val="000000"/>
          <w:sz w:val="22"/>
        </w:rPr>
        <w:t>Amblyomma americanum</w:t>
      </w:r>
      <w:r>
        <w:rPr>
          <w:rFonts w:ascii="Times New Roman" w:hAnsi="Times New Roman"/>
          <w:b w:val="false"/>
          <w:i w:val="false"/>
          <w:color w:val="000000"/>
          <w:sz w:val="22"/>
        </w:rPr>
        <w:t>) found in the southeastern and eastern regions of the 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color w:val="000000"/>
          <w:sz w:val="22"/>
        </w:rPr>
        <w:t>Tick-borne relapsing fever</w:t>
      </w:r>
      <w:r>
        <w:rPr>
          <w:rFonts w:ascii="Times New Roman" w:hAnsi="Times New Roman"/>
          <w:b w:val="false"/>
          <w:i w:val="false"/>
          <w:color w:val="000000"/>
          <w:sz w:val="22"/>
        </w:rPr>
        <w:t xml:space="preserve"> is transmitted to humans through the bite of infected soft ticks. Tick-borne relapsing fever has been reported in 15 states: Arizona, California, Colorado, Idaho, Kansas, Montana, Nevada, New Mexico, Ohio, Oklahoma, Oregon, Texas, Utah, Washington, and Wyoming and is associated with sleeping in rustic cabins and vacation homes.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color w:val="000000"/>
          <w:sz w:val="22"/>
        </w:rPr>
        <w:t>Tularemia</w:t>
      </w:r>
      <w:r>
        <w:rPr>
          <w:rFonts w:ascii="Times New Roman" w:hAnsi="Times New Roman"/>
          <w:b w:val="false"/>
          <w:i w:val="false"/>
          <w:color w:val="000000"/>
          <w:sz w:val="22"/>
        </w:rPr>
        <w:t xml:space="preserve"> is transmitted to humans by the dog tick (</w:t>
      </w:r>
      <w:r>
        <w:rPr>
          <w:rFonts w:ascii="Times New Roman" w:hAnsi="Times New Roman"/>
          <w:b w:val="false"/>
          <w:i/>
          <w:color w:val="000000"/>
          <w:sz w:val="22"/>
        </w:rPr>
        <w:t>Dermacentor variabilis</w:t>
      </w:r>
      <w:r>
        <w:rPr>
          <w:rFonts w:ascii="Times New Roman" w:hAnsi="Times New Roman"/>
          <w:b w:val="false"/>
          <w:i w:val="false"/>
          <w:color w:val="000000"/>
          <w:sz w:val="22"/>
        </w:rPr>
        <w:t>), the wood tick (</w:t>
      </w:r>
      <w:r>
        <w:rPr>
          <w:rFonts w:ascii="Times New Roman" w:hAnsi="Times New Roman"/>
          <w:b w:val="false"/>
          <w:i/>
          <w:color w:val="000000"/>
          <w:sz w:val="22"/>
        </w:rPr>
        <w:t>Dermacentor andersoni</w:t>
      </w:r>
      <w:r>
        <w:rPr>
          <w:rFonts w:ascii="Times New Roman" w:hAnsi="Times New Roman"/>
          <w:b w:val="false"/>
          <w:i w:val="false"/>
          <w:color w:val="000000"/>
          <w:sz w:val="22"/>
        </w:rPr>
        <w:t>), and the lone star tick (</w:t>
      </w:r>
      <w:r>
        <w:rPr>
          <w:rFonts w:ascii="Times New Roman" w:hAnsi="Times New Roman"/>
          <w:b w:val="false"/>
          <w:i/>
          <w:color w:val="000000"/>
          <w:sz w:val="22"/>
        </w:rPr>
        <w:t>Amblyomma americanum</w:t>
      </w:r>
      <w:r>
        <w:rPr>
          <w:rFonts w:ascii="Times New Roman" w:hAnsi="Times New Roman"/>
          <w:b w:val="false"/>
          <w:i w:val="false"/>
          <w:color w:val="000000"/>
          <w:sz w:val="22"/>
        </w:rPr>
        <w:t>). Tularemia occurs throughout the 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color w:val="000000"/>
          <w:sz w:val="22"/>
        </w:rPr>
        <w:t>364D rickettsiosis</w:t>
      </w:r>
      <w:r>
        <w:rPr>
          <w:rFonts w:ascii="Times New Roman" w:hAnsi="Times New Roman"/>
          <w:b w:val="false"/>
          <w:i w:val="false"/>
          <w:color w:val="000000"/>
          <w:sz w:val="22"/>
        </w:rPr>
        <w:t xml:space="preserve"> (</w:t>
      </w:r>
      <w:r>
        <w:rPr>
          <w:rFonts w:ascii="Times New Roman" w:hAnsi="Times New Roman"/>
          <w:b w:val="false"/>
          <w:i/>
          <w:color w:val="000000"/>
          <w:sz w:val="22"/>
        </w:rPr>
        <w:t>Rickettsia phillipi</w:t>
      </w:r>
      <w:r>
        <w:rPr>
          <w:rFonts w:ascii="Times New Roman" w:hAnsi="Times New Roman"/>
          <w:b w:val="false"/>
          <w:i w:val="false"/>
          <w:color w:val="000000"/>
          <w:sz w:val="22"/>
        </w:rPr>
        <w:t>) is transmitted to humans by the Pacific Coast tick (</w:t>
      </w:r>
      <w:r>
        <w:rPr>
          <w:rFonts w:ascii="Times New Roman" w:hAnsi="Times New Roman"/>
          <w:b w:val="false"/>
          <w:i/>
          <w:color w:val="000000"/>
          <w:sz w:val="22"/>
        </w:rPr>
        <w:t>Dermacentor occidentalis</w:t>
      </w:r>
      <w:r>
        <w:rPr>
          <w:rFonts w:ascii="Times New Roman" w:hAnsi="Times New Roman"/>
          <w:b w:val="false"/>
          <w:i w:val="false"/>
          <w:color w:val="000000"/>
          <w:sz w:val="22"/>
        </w:rPr>
        <w:t>). This is a new disease that has been found in California.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655.12(4)</w:t>
      </w:r>
      <w:r>
        <w:rPr>
          <w:rFonts w:ascii="Times New Roman" w:hAnsi="Times New Roman"/>
          <w:b w:val="false"/>
          <w:i w:val="false"/>
          <w:color w:val="000000"/>
          <w:sz w:val="22"/>
        </w:rPr>
        <w:t> </w:t>
      </w:r>
      <w:r>
        <w:rPr>
          <w:rFonts w:ascii="Times New Roman" w:hAnsi="Times New Roman"/>
          <w:b w:val="false"/>
          <w:i/>
          <w:color w:val="000000"/>
          <w:sz w:val="22"/>
        </w:rPr>
        <w:t xml:space="preserve">Grounds for discipline. </w:t>
      </w:r>
      <w:r>
        <w:rPr>
          <w:rFonts w:ascii="Times New Roman" w:hAnsi="Times New Roman"/>
          <w:b w:val="false"/>
          <w:i w:val="false"/>
          <w:color w:val="000000"/>
          <w:sz w:val="22"/>
        </w:rPr>
        <w:t xml:space="preserve">A physician may be subject to disciplinary action for violation of these rules or the rules found in </w:t>
      </w:r>
      <w:hyperlink r:id="rId40">
        <w:r>
          <w:rPr>
            <w:rStyle w:val="Hyperlink"/>
            <w:rFonts w:ascii="Times New Roman" w:hAnsi="Times New Roman"/>
            <w:b w:val="false"/>
            <w:i w:val="false"/>
            <w:color w:val="000000"/>
            <w:sz w:val="22"/>
          </w:rPr>
          <w:t>481—Chapter 661</w:t>
        </w:r>
      </w:hyperlink>
      <w:r>
        <w:rPr>
          <w:rFonts w:ascii="Times New Roman" w:hAnsi="Times New Roman"/>
          <w:b w:val="false"/>
          <w:i w:val="false"/>
          <w:color w:val="000000"/>
          <w:sz w:val="22"/>
        </w:rPr>
        <w:t>. Grounds for discipline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physician fails to perform and document an appropriate examination or fails to obtain and document appropriate informed consent from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physician fails to identify and document a medical reason for recommending or providing the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physician fails to inform the patient about other recognized treatment options or fails to describe to the patient the physician’s education, experience, and credentials regarding the treatment of Lyme disease or other tick-borne diseases.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physician fails to use the physician’s own medical judgment based on a thorough review of all available clinical information and Lyme disease or other tick-borne disease literature to determine the best course of treatment for the individual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treatment provided, in the opinion of the physician, will likely result in the direct and proximate death of or serious bodily injury to the patient.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9115C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481—655.13</w:t>
      </w:r>
      <w:r>
        <w:rPr>
          <w:rFonts w:ascii="Times New Roman" w:hAnsi="Times New Roman"/>
          <w:b/>
          <w:i w:val="false"/>
          <w:color w:val="000000"/>
          <w:sz w:val="22"/>
        </w:rPr>
        <w:t xml:space="preserve">(124E,147,148,272C) </w:t>
      </w:r>
      <w:r>
        <w:rPr>
          <w:rFonts w:ascii="Times New Roman" w:hAnsi="Times New Roman"/>
          <w:b/>
          <w:i w:val="false"/>
          <w:color w:val="000000"/>
          <w:sz w:val="22"/>
        </w:rPr>
        <w:t xml:space="preserve">Standards of practice—medical cannabidiol.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655.13(1)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For purposes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“Bordering state” </w:t>
      </w:r>
      <w:r>
        <w:rPr>
          <w:rFonts w:ascii="Times New Roman" w:hAnsi="Times New Roman"/>
          <w:b w:val="false"/>
          <w:i w:val="false"/>
          <w:color w:val="000000"/>
          <w:sz w:val="22"/>
        </w:rPr>
        <w:t xml:space="preserve">means the same as defined in Iowa Code section </w:t>
      </w:r>
      <w:hyperlink r:id="rId41">
        <w:r>
          <w:rPr>
            <w:rStyle w:val="Hyperlink"/>
            <w:rFonts w:ascii="Times New Roman" w:hAnsi="Times New Roman"/>
            <w:b w:val="false"/>
            <w:i w:val="false"/>
            <w:color w:val="000000"/>
            <w:sz w:val="22"/>
          </w:rPr>
          <w:t>331.910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“Debilitating medical condition” </w:t>
      </w:r>
      <w:r>
        <w:rPr>
          <w:rFonts w:ascii="Times New Roman" w:hAnsi="Times New Roman"/>
          <w:b w:val="false"/>
          <w:i w:val="false"/>
          <w:color w:val="000000"/>
          <w:sz w:val="22"/>
        </w:rPr>
        <w:t>means any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Cancer, if the underlying condition or treatment produces one or more of the following: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Severe or chronic pain.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Nausea or severe vomiting.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Cachexia or severe wasting.</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Multiple sclerosis with severe and persistent muscle spasms.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Seizures, including those characteristic of epilepsy.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AIDS or HIV as defined in Iowa Code section </w:t>
      </w:r>
      <w:hyperlink r:id="rId42">
        <w:r>
          <w:rPr>
            <w:rStyle w:val="Hyperlink"/>
            <w:rFonts w:ascii="Times New Roman" w:hAnsi="Times New Roman"/>
            <w:b w:val="false"/>
            <w:i w:val="false"/>
            <w:color w:val="000000"/>
            <w:sz w:val="22"/>
          </w:rPr>
          <w:t>141A.1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Crohn’s disease.</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Amyotrophic lateral sclerosis.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Any terminal illness, with a probable life expectancy of under one year, if the illness or its treatment produces one or more of the following: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Severe or chronic pain.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Nausea or severe vomiting.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Cachexia or severe wasting.</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Parkinson’s disease.</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Chronic pain.</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Ulcerative colitis.</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Severe, intractable autism with self-injurious or aggressive behaviors.</w:t>
      </w:r>
    </w:p>
    <w:p>
      <w:pPr>
        <w:spacing w:before="0" w:after="0"/>
        <w:ind w:left="120"/>
        <w:jc w:val="both"/>
      </w:pPr>
      <w:r>
        <w:rPr>
          <w:rFonts w:ascii="Times New Roman" w:hAnsi="Times New Roman"/>
          <w:b w:val="false"/>
          <w:i w:val="false"/>
          <w:color w:val="000000"/>
          <w:sz w:val="22"/>
        </w:rPr>
        <w:t>     12.   </w:t>
      </w:r>
      <w:r>
        <w:rPr>
          <w:rFonts w:ascii="Times New Roman" w:hAnsi="Times New Roman"/>
          <w:b w:val="false"/>
          <w:i w:val="false"/>
          <w:color w:val="000000"/>
          <w:sz w:val="22"/>
        </w:rPr>
        <w:t>Corticobasal degeneration.</w:t>
      </w:r>
    </w:p>
    <w:p>
      <w:pPr>
        <w:spacing w:before="0" w:after="0"/>
        <w:ind w:left="120"/>
        <w:jc w:val="both"/>
      </w:pPr>
      <w:r>
        <w:rPr>
          <w:rFonts w:ascii="Times New Roman" w:hAnsi="Times New Roman"/>
          <w:b w:val="false"/>
          <w:i w:val="false"/>
          <w:color w:val="000000"/>
          <w:sz w:val="22"/>
        </w:rPr>
        <w:t>     13.   </w:t>
      </w:r>
      <w:r>
        <w:rPr>
          <w:rFonts w:ascii="Times New Roman" w:hAnsi="Times New Roman"/>
          <w:b w:val="false"/>
          <w:i w:val="false"/>
          <w:color w:val="000000"/>
          <w:sz w:val="22"/>
        </w:rPr>
        <w:t>Post-traumatic stress disorder.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public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“Form and quantity” </w:t>
      </w:r>
      <w:r>
        <w:rPr>
          <w:rFonts w:ascii="Times New Roman" w:hAnsi="Times New Roman"/>
          <w:b w:val="false"/>
          <w:i w:val="false"/>
          <w:color w:val="000000"/>
          <w:sz w:val="22"/>
        </w:rPr>
        <w:t>means the types and amounts of medical cannabidiol allowed to be dispensed to a patient or primary caregiver as approved by the department subject to recommendation by the medical cannabidiol board and approval by the board of medicine.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“Medical cannabidiol” </w:t>
      </w:r>
      <w:r>
        <w:rPr>
          <w:rFonts w:ascii="Times New Roman" w:hAnsi="Times New Roman"/>
          <w:b w:val="false"/>
          <w:i w:val="false"/>
          <w:color w:val="000000"/>
          <w:sz w:val="22"/>
        </w:rPr>
        <w:t xml:space="preserve">means any pharmaceutical grade cannabinoid found in the plant </w:t>
      </w:r>
      <w:r>
        <w:rPr>
          <w:rFonts w:ascii="Times New Roman" w:hAnsi="Times New Roman"/>
          <w:b w:val="false"/>
          <w:i/>
          <w:color w:val="000000"/>
          <w:sz w:val="22"/>
        </w:rPr>
        <w:t>Cannabis sativa</w:t>
      </w:r>
      <w:r>
        <w:rPr>
          <w:rFonts w:ascii="Times New Roman" w:hAnsi="Times New Roman"/>
          <w:b w:val="false"/>
          <w:i w:val="false"/>
          <w:color w:val="000000"/>
          <w:sz w:val="22"/>
        </w:rPr>
        <w:t xml:space="preserve"> L. or </w:t>
      </w:r>
      <w:r>
        <w:rPr>
          <w:rFonts w:ascii="Times New Roman" w:hAnsi="Times New Roman"/>
          <w:b w:val="false"/>
          <w:i/>
          <w:color w:val="000000"/>
          <w:sz w:val="22"/>
        </w:rPr>
        <w:t>Cannabis indica</w:t>
      </w:r>
      <w:r>
        <w:rPr>
          <w:rFonts w:ascii="Times New Roman" w:hAnsi="Times New Roman"/>
          <w:b w:val="false"/>
          <w:i w:val="false"/>
          <w:color w:val="000000"/>
          <w:sz w:val="22"/>
        </w:rPr>
        <w:t xml:space="preserve"> or any other preparation thereof that is delivered in a form recommended by the medical cannabidiol board, approved by the board of medicine, and adopted by the department pursuant to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“Medical cannabidiol board” </w:t>
      </w:r>
      <w:r>
        <w:rPr>
          <w:rFonts w:ascii="Times New Roman" w:hAnsi="Times New Roman"/>
          <w:b w:val="false"/>
          <w:i w:val="false"/>
          <w:color w:val="000000"/>
          <w:sz w:val="22"/>
        </w:rPr>
        <w:t xml:space="preserve">means the board established pursuant to Iowa Code section </w:t>
      </w:r>
      <w:hyperlink r:id="rId43">
        <w:r>
          <w:rPr>
            <w:rStyle w:val="Hyperlink"/>
            <w:rFonts w:ascii="Times New Roman" w:hAnsi="Times New Roman"/>
            <w:b w:val="false"/>
            <w:i w:val="false"/>
            <w:color w:val="000000"/>
            <w:sz w:val="22"/>
          </w:rPr>
          <w:t>124E.5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“Primary caregiver” </w:t>
      </w:r>
      <w:r>
        <w:rPr>
          <w:rFonts w:ascii="Times New Roman" w:hAnsi="Times New Roman"/>
          <w:b w:val="false"/>
          <w:i w:val="false"/>
          <w:color w:val="000000"/>
          <w:sz w:val="22"/>
        </w:rPr>
        <w:t>means a person who is a resident of this state or a bordering state, including but not limited to a parent or legal guardian, at least 18 years of age, who has been designated by a patient’s health care practitioner as a necessary caretaker taking responsibility for managing the well-being of the patient with respect to the use of medical cannabidiol pursuant to the provisions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“Untreatable pain” </w:t>
      </w:r>
      <w:r>
        <w:rPr>
          <w:rFonts w:ascii="Times New Roman" w:hAnsi="Times New Roman"/>
          <w:b w:val="false"/>
          <w:i w:val="false"/>
          <w:color w:val="000000"/>
          <w:sz w:val="22"/>
        </w:rPr>
        <w:t>means any pain whose cause cannot be removed and, according to generally accepted medical practice, the full range of pain management modalities appropriate for the patient has been used without adequate result or with intolerable side effects.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“Written certification” </w:t>
      </w:r>
      <w:r>
        <w:rPr>
          <w:rFonts w:ascii="Times New Roman" w:hAnsi="Times New Roman"/>
          <w:b w:val="false"/>
          <w:i w:val="false"/>
          <w:color w:val="000000"/>
          <w:sz w:val="22"/>
        </w:rPr>
        <w:t xml:space="preserve">means a document signed by a physician licensed pursuant to Iowa Code chapter </w:t>
      </w:r>
      <w:hyperlink r:id="rId44">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 xml:space="preserve"> with whom the patient has established a patient-physician relationship and who is the patient’s primary care provider that states that the patient has a debilitating medical condition and identifies that condition and provides any other relevant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655.13(2)</w:t>
      </w:r>
      <w:r>
        <w:rPr>
          <w:rFonts w:ascii="Times New Roman" w:hAnsi="Times New Roman"/>
          <w:b w:val="false"/>
          <w:i w:val="false"/>
          <w:color w:val="000000"/>
          <w:sz w:val="22"/>
        </w:rPr>
        <w:t> </w:t>
      </w:r>
      <w:r>
        <w:rPr>
          <w:rFonts w:ascii="Times New Roman" w:hAnsi="Times New Roman"/>
          <w:b w:val="false"/>
          <w:i/>
          <w:color w:val="000000"/>
          <w:sz w:val="22"/>
        </w:rPr>
        <w:t xml:space="preserve">Written certification. </w:t>
      </w:r>
      <w:r>
        <w:rPr>
          <w:rFonts w:ascii="Times New Roman" w:hAnsi="Times New Roman"/>
          <w:b w:val="false"/>
          <w:i w:val="false"/>
          <w:color w:val="000000"/>
          <w:sz w:val="22"/>
        </w:rPr>
        <w:t xml:space="preserve">A physician who is a patient’s primary care provider may provide the patient a written certification of diagnosis if, after examining and treating the patient, the physician determines, in the physician’s medical judgment, that the patient suffers from a debilitating medical condition that qualifies for the use of medical cannabidiol pursuant to Iowa Code chapter </w:t>
      </w:r>
      <w:hyperlink r:id="rId45">
        <w:r>
          <w:rPr>
            <w:rStyle w:val="Hyperlink"/>
            <w:rFonts w:ascii="Times New Roman" w:hAnsi="Times New Roman"/>
            <w:b w:val="false"/>
            <w:i w:val="false"/>
            <w:color w:val="000000"/>
            <w:sz w:val="22"/>
          </w:rPr>
          <w:t>124E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physician shall provide explanatory information as provided by the department to the patient about the therapeutic use of medical cannabidiol and the possible risks, benefits, and side effects of the proposed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Subsequently, the physician shall do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Determine, on an annual basis, if the patient continues to suffer from a debilitating medical condition and, if so, may issue the patient a new written certification of that diagnosis.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Otherwise comply with all requirements established by the department pursuant to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physician may provide, but has no duty to provide, a written certification pursuant to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655.13(3)</w:t>
      </w:r>
      <w:r>
        <w:rPr>
          <w:rFonts w:ascii="Times New Roman" w:hAnsi="Times New Roman"/>
          <w:b w:val="false"/>
          <w:i w:val="false"/>
          <w:color w:val="000000"/>
          <w:sz w:val="22"/>
        </w:rPr>
        <w:t> </w:t>
      </w:r>
      <w:r>
        <w:rPr>
          <w:rFonts w:ascii="Times New Roman" w:hAnsi="Times New Roman"/>
          <w:b w:val="false"/>
          <w:i/>
          <w:color w:val="000000"/>
          <w:sz w:val="22"/>
        </w:rPr>
        <w:t xml:space="preserve">Adding or removing debilitating medical conditions and amending form and quantity of medical cannabidiol. </w:t>
      </w:r>
      <w:r>
        <w:rPr>
          <w:rFonts w:ascii="Times New Roman" w:hAnsi="Times New Roman"/>
          <w:b w:val="false"/>
          <w:i w:val="false"/>
          <w:color w:val="000000"/>
          <w:sz w:val="22"/>
        </w:rPr>
        <w:t xml:space="preserve">Recommendations made by the medical cannabidiol board pursuant to Iowa Code section </w:t>
      </w:r>
      <w:hyperlink r:id="rId46">
        <w:r>
          <w:rPr>
            <w:rStyle w:val="Hyperlink"/>
            <w:rFonts w:ascii="Times New Roman" w:hAnsi="Times New Roman"/>
            <w:b w:val="false"/>
            <w:i w:val="false"/>
            <w:color w:val="000000"/>
            <w:sz w:val="22"/>
          </w:rPr>
          <w:t>124E.5</w:t>
        </w:r>
      </w:hyperlink>
      <w:r>
        <w:rPr>
          <w:rFonts w:ascii="Times New Roman" w:hAnsi="Times New Roman"/>
          <w:b w:val="false"/>
          <w:i w:val="false"/>
          <w:color w:val="000000"/>
          <w:sz w:val="22"/>
        </w:rPr>
        <w:t xml:space="preserve"> relating to the addition or removal of allowable debilitating medical conditions for which the medical use of cannabidiol would be medically beneficial or to the amendment of the form and quantity of allowable medical uses of cannabidiol shall be made to the board of medicine for consideration. The medical cannabidiol board shall submit a written recommendation, a copy of the petition and all other information received during consideration of the petition. The board of medicine shall consider the information received from the medical cannabidiol board and may seek information from other sources if it is deemed relevant by the board of medicine. The decision regarding a recommendation by the medical cannabidiol board is at the sole discretion of the board of medicine. The board of medicine shall make its decision within 180 days of receipt of the recommendation from the medical cannabidiol board. If the recommendation is approved by the board of medicine, it shall be adopted by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655.13(4)</w:t>
      </w:r>
      <w:r>
        <w:rPr>
          <w:rFonts w:ascii="Times New Roman" w:hAnsi="Times New Roman"/>
          <w:b w:val="false"/>
          <w:i w:val="false"/>
          <w:color w:val="000000"/>
          <w:sz w:val="22"/>
        </w:rPr>
        <w:t> </w:t>
      </w:r>
      <w:r>
        <w:rPr>
          <w:rFonts w:ascii="Times New Roman" w:hAnsi="Times New Roman"/>
          <w:b w:val="false"/>
          <w:i/>
          <w:color w:val="000000"/>
          <w:sz w:val="22"/>
        </w:rPr>
        <w:t xml:space="preserve">Financial interests. </w:t>
      </w:r>
      <w:r>
        <w:rPr>
          <w:rFonts w:ascii="Times New Roman" w:hAnsi="Times New Roman"/>
          <w:b w:val="false"/>
          <w:i w:val="false"/>
          <w:color w:val="000000"/>
          <w:sz w:val="22"/>
        </w:rPr>
        <w:t>A physician shall not share office space with, accept referrals from, or have any financial relationship with a medical cannabidiol manufacturer or dispensary.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655.13(5)</w:t>
      </w:r>
      <w:r>
        <w:rPr>
          <w:rFonts w:ascii="Times New Roman" w:hAnsi="Times New Roman"/>
          <w:b w:val="false"/>
          <w:i w:val="false"/>
          <w:color w:val="000000"/>
          <w:sz w:val="22"/>
        </w:rPr>
        <w:t> </w:t>
      </w:r>
      <w:r>
        <w:rPr>
          <w:rFonts w:ascii="Times New Roman" w:hAnsi="Times New Roman"/>
          <w:b w:val="false"/>
          <w:i/>
          <w:color w:val="000000"/>
          <w:sz w:val="22"/>
        </w:rPr>
        <w:t xml:space="preserve">Criminal prosecution. </w:t>
      </w:r>
      <w:r>
        <w:rPr>
          <w:rFonts w:ascii="Times New Roman" w:hAnsi="Times New Roman"/>
          <w:b w:val="false"/>
          <w:i w:val="false"/>
          <w:color w:val="000000"/>
          <w:sz w:val="22"/>
        </w:rPr>
        <w:t xml:space="preserve">A physician, including any authorized agent or employee thereof, shall not be subject to prosecution for the unlawful certification, possession, or administration of marijuana under the laws of this state for activities arising directly out of or directly related to the certification or use of medical cannabidiol in the treatment of a patient diagnosed with a debilitating medical condition as authorized by Iowa Code chapter </w:t>
      </w:r>
      <w:hyperlink r:id="rId47">
        <w:r>
          <w:rPr>
            <w:rStyle w:val="Hyperlink"/>
            <w:rFonts w:ascii="Times New Roman" w:hAnsi="Times New Roman"/>
            <w:b w:val="false"/>
            <w:i w:val="false"/>
            <w:color w:val="000000"/>
            <w:sz w:val="22"/>
          </w:rPr>
          <w:t>124E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655.13(6)</w:t>
      </w:r>
      <w:r>
        <w:rPr>
          <w:rFonts w:ascii="Times New Roman" w:hAnsi="Times New Roman"/>
          <w:b w:val="false"/>
          <w:i w:val="false"/>
          <w:color w:val="000000"/>
          <w:sz w:val="22"/>
        </w:rPr>
        <w:t> </w:t>
      </w:r>
      <w:r>
        <w:rPr>
          <w:rFonts w:ascii="Times New Roman" w:hAnsi="Times New Roman"/>
          <w:b w:val="false"/>
          <w:i/>
          <w:color w:val="000000"/>
          <w:sz w:val="22"/>
        </w:rPr>
        <w:t xml:space="preserve">Civil or disciplinary penalties. </w:t>
      </w:r>
      <w:r>
        <w:rPr>
          <w:rFonts w:ascii="Times New Roman" w:hAnsi="Times New Roman"/>
          <w:b w:val="false"/>
          <w:i w:val="false"/>
          <w:color w:val="000000"/>
          <w:sz w:val="22"/>
        </w:rPr>
        <w:t xml:space="preserve">A physician, including any authorized agent or employee thereof, shall not be subject to any civil or disciplinary penalties by the board of medicine or any business, occupational, or professional licensing board or entity, solely for activities conducted relating to a patient’s possession or use of medical cannabidiol as authorized by Iowa Code chapter </w:t>
      </w:r>
      <w:hyperlink r:id="rId48">
        <w:r>
          <w:rPr>
            <w:rStyle w:val="Hyperlink"/>
            <w:rFonts w:ascii="Times New Roman" w:hAnsi="Times New Roman"/>
            <w:b w:val="false"/>
            <w:i w:val="false"/>
            <w:color w:val="000000"/>
            <w:sz w:val="22"/>
          </w:rPr>
          <w:t>124E</w:t>
        </w:r>
      </w:hyperlink>
      <w:r>
        <w:rPr>
          <w:rFonts w:ascii="Times New Roman" w:hAnsi="Times New Roman"/>
          <w:b w:val="false"/>
          <w:i w:val="false"/>
          <w:color w:val="000000"/>
          <w:sz w:val="22"/>
        </w:rPr>
        <w:t>. Nothing in this rule prevents the board of medicine from taking action in response to violations of any other sections of law or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655.13(7)</w:t>
      </w:r>
      <w:r>
        <w:rPr>
          <w:rFonts w:ascii="Times New Roman" w:hAnsi="Times New Roman"/>
          <w:b w:val="false"/>
          <w:i w:val="false"/>
          <w:color w:val="000000"/>
          <w:sz w:val="22"/>
        </w:rPr>
        <w:t> </w:t>
      </w:r>
      <w:r>
        <w:rPr>
          <w:rFonts w:ascii="Times New Roman" w:hAnsi="Times New Roman"/>
          <w:b w:val="false"/>
          <w:i/>
          <w:color w:val="000000"/>
          <w:sz w:val="22"/>
        </w:rPr>
        <w:t xml:space="preserve">Grounds for discipline. </w:t>
      </w:r>
      <w:r>
        <w:rPr>
          <w:rFonts w:ascii="Times New Roman" w:hAnsi="Times New Roman"/>
          <w:b w:val="false"/>
          <w:i w:val="false"/>
          <w:color w:val="000000"/>
          <w:sz w:val="22"/>
        </w:rPr>
        <w:t xml:space="preserve">A physician may be subject to disciplinary action for violation of these rules or the rules found in </w:t>
      </w:r>
      <w:hyperlink r:id="rId49">
        <w:r>
          <w:rPr>
            <w:rStyle w:val="Hyperlink"/>
            <w:rFonts w:ascii="Times New Roman" w:hAnsi="Times New Roman"/>
            <w:b w:val="false"/>
            <w:i w:val="false"/>
            <w:color w:val="000000"/>
            <w:sz w:val="22"/>
          </w:rPr>
          <w:t>481—Chapter 661</w:t>
        </w:r>
      </w:hyperlink>
      <w:r>
        <w:rPr>
          <w:rFonts w:ascii="Times New Roman" w:hAnsi="Times New Roman"/>
          <w:b w:val="false"/>
          <w:i w:val="false"/>
          <w:color w:val="000000"/>
          <w:sz w:val="22"/>
        </w:rPr>
        <w:t>. Grounds for discipline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physician provides an individual a written certification without establishing a patient-physician relationship, including examining and treating the individual, or without being the individual’s primary care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physician provides a patient a written certification without determining, in the physician’s medical judgment, that the patient suffers from a debilitating medical condition that qualifies for the use of medical cannabidiol pursuant to Iowa Code chapter </w:t>
      </w:r>
      <w:hyperlink r:id="rId50">
        <w:r>
          <w:rPr>
            <w:rStyle w:val="Hyperlink"/>
            <w:rFonts w:ascii="Times New Roman" w:hAnsi="Times New Roman"/>
            <w:b w:val="false"/>
            <w:i w:val="false"/>
            <w:color w:val="000000"/>
            <w:sz w:val="22"/>
          </w:rPr>
          <w:t>124E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physician provides a patient a written certification without providing explanatory information as provided by the department to the patient about the therapeutic use of medical cannabidiol and the possible risks, benefits, and side effects of the proposed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physician provides an individual a new written certification without determining, on an annual basis, that the patient continues to suffer from a debilitating medical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physician shares office space with, accepts referrals from, or has a financial relationship with a medical cannabidiol manufacturer or dispensary.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9115C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481—655.14</w:t>
      </w:r>
      <w:r>
        <w:rPr>
          <w:rFonts w:ascii="Times New Roman" w:hAnsi="Times New Roman"/>
          <w:b/>
          <w:i w:val="false"/>
          <w:color w:val="000000"/>
          <w:sz w:val="22"/>
        </w:rPr>
        <w:t xml:space="preserve">(146A) </w:t>
      </w:r>
      <w:r>
        <w:rPr>
          <w:rFonts w:ascii="Times New Roman" w:hAnsi="Times New Roman"/>
          <w:b/>
          <w:i w:val="false"/>
          <w:color w:val="000000"/>
          <w:sz w:val="22"/>
        </w:rPr>
        <w:t xml:space="preserve">Abortion prerequisites.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655.14(1)</w:t>
      </w:r>
      <w:r>
        <w:rPr>
          <w:rFonts w:ascii="Times New Roman" w:hAnsi="Times New Roman"/>
          <w:b w:val="false"/>
          <w:i w:val="false"/>
          <w:color w:val="000000"/>
          <w:sz w:val="22"/>
        </w:rPr>
        <w:t> </w:t>
      </w:r>
      <w:r>
        <w:rPr>
          <w:rFonts w:ascii="Times New Roman" w:hAnsi="Times New Roman"/>
          <w:b w:val="false"/>
          <w:i/>
          <w:color w:val="000000"/>
          <w:sz w:val="22"/>
        </w:rPr>
        <w:t xml:space="preserve">Written certification. </w:t>
      </w:r>
      <w:r>
        <w:rPr>
          <w:rFonts w:ascii="Times New Roman" w:hAnsi="Times New Roman"/>
          <w:b w:val="false"/>
          <w:i w:val="false"/>
          <w:color w:val="000000"/>
          <w:sz w:val="22"/>
        </w:rPr>
        <w:t xml:space="preserve">At least 24 hours prior to performing an abortion, a physician shall obtain written certification from the pregnant woman of each prerequisite as required in Iowa Code sections </w:t>
      </w:r>
      <w:hyperlink r:id="rId51">
        <w:r>
          <w:rPr>
            <w:rStyle w:val="Hyperlink"/>
            <w:rFonts w:ascii="Times New Roman" w:hAnsi="Times New Roman"/>
            <w:b w:val="false"/>
            <w:i w:val="false"/>
            <w:color w:val="000000"/>
            <w:sz w:val="22"/>
          </w:rPr>
          <w:t>146A.1(1)</w:t>
        </w:r>
      </w:hyperlink>
      <w:r>
        <w:rPr>
          <w:rFonts w:ascii="Times New Roman" w:hAnsi="Times New Roman"/>
          <w:b w:val="false"/>
          <w:i/>
          <w:color w:val="000000"/>
          <w:sz w:val="22"/>
        </w:rPr>
        <w:t>“a”</w:t>
      </w:r>
      <w:r>
        <w:rPr>
          <w:rFonts w:ascii="Times New Roman" w:hAnsi="Times New Roman"/>
          <w:b w:val="false"/>
          <w:i w:val="false"/>
          <w:color w:val="000000"/>
          <w:sz w:val="22"/>
        </w:rPr>
        <w:t xml:space="preserve"> through </w:t>
      </w:r>
      <w:hyperlink r:id="rId52">
        <w:r>
          <w:rPr>
            <w:rStyle w:val="Hyperlink"/>
            <w:rFonts w:ascii="Times New Roman" w:hAnsi="Times New Roman"/>
            <w:b w:val="false"/>
            <w:i w:val="false"/>
            <w:color w:val="000000"/>
            <w:sz w:val="22"/>
          </w:rPr>
          <w:t>146A.1</w:t>
        </w:r>
      </w:hyperlink>
      <w:r>
        <w:rPr>
          <w:rFonts w:ascii="Times New Roman" w:hAnsi="Times New Roman"/>
          <w:b w:val="false"/>
          <w:i w:val="false"/>
          <w:color w:val="000000"/>
          <w:sz w:val="22"/>
        </w:rPr>
        <w:t>(1)</w:t>
      </w:r>
      <w:r>
        <w:rPr>
          <w:rFonts w:ascii="Times New Roman" w:hAnsi="Times New Roman"/>
          <w:b w:val="false"/>
          <w:i/>
          <w:color w:val="000000"/>
          <w:sz w:val="22"/>
        </w:rPr>
        <w:t>“d”</w:t>
      </w:r>
      <w:r>
        <w:rPr>
          <w:rFonts w:ascii="Times New Roman" w:hAnsi="Times New Roman"/>
          <w:b w:val="false"/>
          <w:i w:val="false"/>
          <w:color w:val="000000"/>
          <w:sz w:val="22"/>
        </w:rPr>
        <w:t>(1). The written certification shall list each required prerequisite separately and shall include a line for date and signature of the pregnant woman. The physician shall maintain a copy of the certification as part of the pregnant woman’s medical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655.14(2)</w:t>
      </w:r>
      <w:r>
        <w:rPr>
          <w:rFonts w:ascii="Times New Roman" w:hAnsi="Times New Roman"/>
          <w:b w:val="false"/>
          <w:i w:val="false"/>
          <w:color w:val="000000"/>
          <w:sz w:val="22"/>
        </w:rPr>
        <w:t> </w:t>
      </w:r>
      <w:r>
        <w:rPr>
          <w:rFonts w:ascii="Times New Roman" w:hAnsi="Times New Roman"/>
          <w:b w:val="false"/>
          <w:i/>
          <w:color w:val="000000"/>
          <w:sz w:val="22"/>
        </w:rPr>
        <w:t xml:space="preserve">Exceptions. </w:t>
      </w:r>
      <w:r>
        <w:rPr>
          <w:rFonts w:ascii="Times New Roman" w:hAnsi="Times New Roman"/>
          <w:b w:val="false"/>
          <w:i w:val="false"/>
          <w:color w:val="000000"/>
          <w:sz w:val="22"/>
        </w:rPr>
        <w:t xml:space="preserve">This rule shall not apply to abortions performed in a medical emergency, as provided in Iowa Code section </w:t>
      </w:r>
      <w:hyperlink r:id="rId53">
        <w:r>
          <w:rPr>
            <w:rStyle w:val="Hyperlink"/>
            <w:rFonts w:ascii="Times New Roman" w:hAnsi="Times New Roman"/>
            <w:b w:val="false"/>
            <w:i w:val="false"/>
            <w:color w:val="000000"/>
            <w:sz w:val="22"/>
          </w:rPr>
          <w:t>146A.1(2)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655.14(3)</w:t>
      </w:r>
      <w:r>
        <w:rPr>
          <w:rFonts w:ascii="Times New Roman" w:hAnsi="Times New Roman"/>
          <w:b w:val="false"/>
          <w:i w:val="false"/>
          <w:color w:val="000000"/>
          <w:sz w:val="22"/>
        </w:rPr>
        <w:t> </w:t>
      </w:r>
      <w:r>
        <w:rPr>
          <w:rFonts w:ascii="Times New Roman" w:hAnsi="Times New Roman"/>
          <w:b w:val="false"/>
          <w:i/>
          <w:color w:val="000000"/>
          <w:sz w:val="22"/>
        </w:rPr>
        <w:t xml:space="preserve">Discipline. </w:t>
      </w:r>
      <w:r>
        <w:rPr>
          <w:rFonts w:ascii="Times New Roman" w:hAnsi="Times New Roman"/>
          <w:b w:val="false"/>
          <w:i w:val="false"/>
          <w:color w:val="000000"/>
          <w:sz w:val="22"/>
        </w:rPr>
        <w:t xml:space="preserve">Failure to comply with this rule or the requirements of Iowa Code section </w:t>
      </w:r>
      <w:hyperlink r:id="rId54">
        <w:r>
          <w:rPr>
            <w:rStyle w:val="Hyperlink"/>
            <w:rFonts w:ascii="Times New Roman" w:hAnsi="Times New Roman"/>
            <w:b w:val="false"/>
            <w:i w:val="false"/>
            <w:color w:val="000000"/>
            <w:sz w:val="22"/>
          </w:rPr>
          <w:t>146A.1</w:t>
        </w:r>
      </w:hyperlink>
      <w:r>
        <w:rPr>
          <w:rFonts w:ascii="Times New Roman" w:hAnsi="Times New Roman"/>
          <w:b w:val="false"/>
          <w:i w:val="false"/>
          <w:color w:val="000000"/>
          <w:sz w:val="22"/>
        </w:rPr>
        <w:t xml:space="preserve"> may constitute grounds for discipline.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9115C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481—655.15</w:t>
      </w:r>
      <w:r>
        <w:rPr>
          <w:rFonts w:ascii="Times New Roman" w:hAnsi="Times New Roman"/>
          <w:b/>
          <w:i w:val="false"/>
          <w:color w:val="000000"/>
          <w:sz w:val="22"/>
        </w:rPr>
        <w:t xml:space="preserve">(135L,146A,146E,147,148,272C) </w:t>
      </w:r>
      <w:r>
        <w:rPr>
          <w:rFonts w:ascii="Times New Roman" w:hAnsi="Times New Roman"/>
          <w:b/>
          <w:i w:val="false"/>
          <w:color w:val="000000"/>
          <w:sz w:val="22"/>
        </w:rPr>
        <w:t xml:space="preserve">Standards of practice for physicians who perform or induce abortions—definitions—detection of fetal heartbeat—fetal heartbeat exceptions—discipline.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655.15(1)</w:t>
      </w:r>
      <w:r>
        <w:rPr>
          <w:rFonts w:ascii="Times New Roman" w:hAnsi="Times New Roman"/>
          <w:b w:val="false"/>
          <w:i w:val="false"/>
          <w:color w:val="000000"/>
          <w:sz w:val="22"/>
        </w:rPr>
        <w:t> </w:t>
      </w:r>
      <w:r>
        <w:rPr>
          <w:rFonts w:ascii="Times New Roman" w:hAnsi="Times New Roman"/>
          <w:b w:val="false"/>
          <w:i/>
          <w:color w:val="000000"/>
          <w:sz w:val="22"/>
        </w:rPr>
        <w:t xml:space="preserve">Standards of practice. </w:t>
      </w:r>
      <w:r>
        <w:rPr>
          <w:rFonts w:ascii="Times New Roman" w:hAnsi="Times New Roman"/>
          <w:b w:val="false"/>
          <w:i w:val="false"/>
          <w:color w:val="000000"/>
          <w:sz w:val="22"/>
        </w:rPr>
        <w:t xml:space="preserve">This rule sets forth the standards of practice for physicians who perform or induce abortions. More information is contained in Iowa Code section </w:t>
      </w:r>
      <w:hyperlink r:id="rId55">
        <w:r>
          <w:rPr>
            <w:rStyle w:val="Hyperlink"/>
            <w:rFonts w:ascii="Times New Roman" w:hAnsi="Times New Roman"/>
            <w:b w:val="false"/>
            <w:i w:val="false"/>
            <w:color w:val="000000"/>
            <w:sz w:val="22"/>
          </w:rPr>
          <w:t>146E.2(5)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655.15(2)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 xml:space="preserve">As used in this rule or in Iowa Code chapter </w:t>
      </w:r>
      <w:hyperlink r:id="rId56">
        <w:r>
          <w:rPr>
            <w:rStyle w:val="Hyperlink"/>
            <w:rFonts w:ascii="Times New Roman" w:hAnsi="Times New Roman"/>
            <w:b w:val="false"/>
            <w:i w:val="false"/>
            <w:color w:val="000000"/>
            <w:sz w:val="22"/>
          </w:rPr>
          <w:t>146E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“Private health agency” </w:t>
      </w:r>
      <w:r>
        <w:rPr>
          <w:rFonts w:ascii="Times New Roman" w:hAnsi="Times New Roman"/>
          <w:b w:val="false"/>
          <w:i w:val="false"/>
          <w:color w:val="000000"/>
          <w:sz w:val="22"/>
        </w:rPr>
        <w:t>means any establishment, facility, organization, or other entity that is not owned by a federal, state, or local government that either is a health care provider or employs or provides the services of a health care provider. Establishments, facilities, organizations, or other entities that are health care providers include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A hospital as defined in Iowa Code section </w:t>
      </w:r>
      <w:hyperlink r:id="rId57">
        <w:r>
          <w:rPr>
            <w:rStyle w:val="Hyperlink"/>
            <w:rFonts w:ascii="Times New Roman" w:hAnsi="Times New Roman"/>
            <w:b w:val="false"/>
            <w:i w:val="false"/>
            <w:color w:val="000000"/>
            <w:sz w:val="22"/>
          </w:rPr>
          <w:t>135B.1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A health care facility as defined in Iowa Code section </w:t>
      </w:r>
      <w:hyperlink r:id="rId58">
        <w:r>
          <w:rPr>
            <w:rStyle w:val="Hyperlink"/>
            <w:rFonts w:ascii="Times New Roman" w:hAnsi="Times New Roman"/>
            <w:b w:val="false"/>
            <w:i w:val="false"/>
            <w:color w:val="000000"/>
            <w:sz w:val="22"/>
          </w:rPr>
          <w:t>135C.1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A health facility as defined in Iowa Code section </w:t>
      </w:r>
      <w:hyperlink r:id="rId59">
        <w:r>
          <w:rPr>
            <w:rStyle w:val="Hyperlink"/>
            <w:rFonts w:ascii="Times New Roman" w:hAnsi="Times New Roman"/>
            <w:b w:val="false"/>
            <w:i w:val="false"/>
            <w:color w:val="000000"/>
            <w:sz w:val="22"/>
          </w:rPr>
          <w:t>135P.1</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similar entity that either is a health care provider or employs or provides the services of a health care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“Public health agency” </w:t>
      </w:r>
      <w:r>
        <w:rPr>
          <w:rFonts w:ascii="Times New Roman" w:hAnsi="Times New Roman"/>
          <w:b w:val="false"/>
          <w:i w:val="false"/>
          <w:color w:val="000000"/>
          <w:sz w:val="22"/>
        </w:rPr>
        <w:t>means any establishment; facility; organization; administrative division; or entity that is owned by a federal, state, or local government that either is a health care provider or employs or provides the services of a health care provider. Establishments, facilities, organizations, administrative divisions, or other entities that are health care providers include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A hospital as defined in Iowa Code section </w:t>
      </w:r>
      <w:hyperlink r:id="rId60">
        <w:r>
          <w:rPr>
            <w:rStyle w:val="Hyperlink"/>
            <w:rFonts w:ascii="Times New Roman" w:hAnsi="Times New Roman"/>
            <w:b w:val="false"/>
            <w:i w:val="false"/>
            <w:color w:val="000000"/>
            <w:sz w:val="22"/>
          </w:rPr>
          <w:t>135B.1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A health care facility as defined in Iowa Code section </w:t>
      </w:r>
      <w:hyperlink r:id="rId61">
        <w:r>
          <w:rPr>
            <w:rStyle w:val="Hyperlink"/>
            <w:rFonts w:ascii="Times New Roman" w:hAnsi="Times New Roman"/>
            <w:b w:val="false"/>
            <w:i w:val="false"/>
            <w:color w:val="000000"/>
            <w:sz w:val="22"/>
          </w:rPr>
          <w:t>135C.1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A health facility as defined in Iowa Code section </w:t>
      </w:r>
      <w:hyperlink r:id="rId62">
        <w:r>
          <w:rPr>
            <w:rStyle w:val="Hyperlink"/>
            <w:rFonts w:ascii="Times New Roman" w:hAnsi="Times New Roman"/>
            <w:b w:val="false"/>
            <w:i w:val="false"/>
            <w:color w:val="000000"/>
            <w:sz w:val="22"/>
          </w:rPr>
          <w:t>135P.1</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similar entity that either is a health care provider or employs or provides the services of a health care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“Standard medical practice” </w:t>
      </w:r>
      <w:r>
        <w:rPr>
          <w:rFonts w:ascii="Times New Roman" w:hAnsi="Times New Roman"/>
          <w:b w:val="false"/>
          <w:i w:val="false"/>
          <w:color w:val="000000"/>
          <w:sz w:val="22"/>
        </w:rPr>
        <w:t xml:space="preserve">means the degree of skill, care, and diligence that a physician of the same medical specialty would employ in like circumstances. As applied to the method used to determine the presence of a fetal heartbeat for purposes of Iowa Code chapter </w:t>
      </w:r>
      <w:hyperlink r:id="rId63">
        <w:r>
          <w:rPr>
            <w:rStyle w:val="Hyperlink"/>
            <w:rFonts w:ascii="Times New Roman" w:hAnsi="Times New Roman"/>
            <w:b w:val="false"/>
            <w:i w:val="false"/>
            <w:color w:val="000000"/>
            <w:sz w:val="22"/>
          </w:rPr>
          <w:t>146E</w:t>
        </w:r>
      </w:hyperlink>
      <w:r>
        <w:rPr>
          <w:rFonts w:ascii="Times New Roman" w:hAnsi="Times New Roman"/>
          <w:b w:val="false"/>
          <w:i w:val="false"/>
          <w:color w:val="000000"/>
          <w:sz w:val="22"/>
        </w:rPr>
        <w:t xml:space="preserve"> and this rule, “standard medical practice” includes employing the appropriate means of detection depending on the estimated gestational age of the unborn child and the condition of the woman and her pregnancy.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“The pregnancy is the result of a rape” </w:t>
      </w:r>
      <w:r>
        <w:rPr>
          <w:rFonts w:ascii="Times New Roman" w:hAnsi="Times New Roman"/>
          <w:b w:val="false"/>
          <w:i w:val="false"/>
          <w:color w:val="000000"/>
          <w:sz w:val="22"/>
        </w:rPr>
        <w:t xml:space="preserve">means a circumstance in which the pregnancy is the result of conduct that would constitute an offense under Iowa Code section </w:t>
      </w:r>
      <w:hyperlink r:id="rId64">
        <w:r>
          <w:rPr>
            <w:rStyle w:val="Hyperlink"/>
            <w:rFonts w:ascii="Times New Roman" w:hAnsi="Times New Roman"/>
            <w:b w:val="false"/>
            <w:i w:val="false"/>
            <w:color w:val="000000"/>
            <w:sz w:val="22"/>
          </w:rPr>
          <w:t>709.2</w:t>
        </w:r>
      </w:hyperlink>
      <w:r>
        <w:rPr>
          <w:rFonts w:ascii="Times New Roman" w:hAnsi="Times New Roman"/>
          <w:b w:val="false"/>
          <w:i w:val="false"/>
          <w:color w:val="000000"/>
          <w:sz w:val="22"/>
        </w:rPr>
        <w:t xml:space="preserve">, </w:t>
      </w:r>
      <w:hyperlink r:id="rId65">
        <w:r>
          <w:rPr>
            <w:rStyle w:val="Hyperlink"/>
            <w:rFonts w:ascii="Times New Roman" w:hAnsi="Times New Roman"/>
            <w:b w:val="false"/>
            <w:i w:val="false"/>
            <w:color w:val="000000"/>
            <w:sz w:val="22"/>
          </w:rPr>
          <w:t>709.3</w:t>
        </w:r>
      </w:hyperlink>
      <w:r>
        <w:rPr>
          <w:rFonts w:ascii="Times New Roman" w:hAnsi="Times New Roman"/>
          <w:b w:val="false"/>
          <w:i w:val="false"/>
          <w:color w:val="000000"/>
          <w:sz w:val="22"/>
        </w:rPr>
        <w:t xml:space="preserve">, </w:t>
      </w:r>
      <w:hyperlink r:id="rId66">
        <w:r>
          <w:rPr>
            <w:rStyle w:val="Hyperlink"/>
            <w:rFonts w:ascii="Times New Roman" w:hAnsi="Times New Roman"/>
            <w:b w:val="false"/>
            <w:i w:val="false"/>
            <w:color w:val="000000"/>
            <w:sz w:val="22"/>
          </w:rPr>
          <w:t>709.4</w:t>
        </w:r>
      </w:hyperlink>
      <w:r>
        <w:rPr>
          <w:rFonts w:ascii="Times New Roman" w:hAnsi="Times New Roman"/>
          <w:b w:val="false"/>
          <w:i w:val="false"/>
          <w:color w:val="000000"/>
          <w:sz w:val="22"/>
        </w:rPr>
        <w:t xml:space="preserve">, or </w:t>
      </w:r>
      <w:hyperlink r:id="rId67">
        <w:r>
          <w:rPr>
            <w:rStyle w:val="Hyperlink"/>
            <w:rFonts w:ascii="Times New Roman" w:hAnsi="Times New Roman"/>
            <w:b w:val="false"/>
            <w:i w:val="false"/>
            <w:color w:val="000000"/>
            <w:sz w:val="22"/>
          </w:rPr>
          <w:t>709.4A</w:t>
        </w:r>
      </w:hyperlink>
      <w:r>
        <w:rPr>
          <w:rFonts w:ascii="Times New Roman" w:hAnsi="Times New Roman"/>
          <w:b w:val="false"/>
          <w:i w:val="false"/>
          <w:color w:val="000000"/>
          <w:sz w:val="22"/>
        </w:rPr>
        <w:t xml:space="preserve"> when perpetrated against a female, regardless of where the conduct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“The pregnancy is the result of incest” </w:t>
      </w:r>
      <w:r>
        <w:rPr>
          <w:rFonts w:ascii="Times New Roman" w:hAnsi="Times New Roman"/>
          <w:b w:val="false"/>
          <w:i w:val="false"/>
          <w:color w:val="000000"/>
          <w:sz w:val="22"/>
        </w:rPr>
        <w:t>means a circumstance in which a sex act occurs between closely related persons that involves a vaginal penetration that causes a pregnancy. The closely related persons must be related, either legitimately or illegitimately, as an ancestor, descendant, brother or sister of the whole or half blood, aunt, uncle, niece, or nephew. For purposes of this rule, a closely related person includes a stepparent, stepchild, or stepsibling, including siblings through adoption.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“Unborn child” </w:t>
      </w:r>
      <w:r>
        <w:rPr>
          <w:rFonts w:ascii="Times New Roman" w:hAnsi="Times New Roman"/>
          <w:b w:val="false"/>
          <w:i w:val="false"/>
          <w:color w:val="000000"/>
          <w:sz w:val="22"/>
        </w:rPr>
        <w:t xml:space="preserve">means an individual organism of the species </w:t>
      </w:r>
      <w:r>
        <w:rPr>
          <w:rFonts w:ascii="Times New Roman" w:hAnsi="Times New Roman"/>
          <w:b w:val="false"/>
          <w:i/>
          <w:color w:val="000000"/>
          <w:sz w:val="22"/>
        </w:rPr>
        <w:t>Homo sapiens</w:t>
      </w:r>
      <w:r>
        <w:rPr>
          <w:rFonts w:ascii="Times New Roman" w:hAnsi="Times New Roman"/>
          <w:b w:val="false"/>
          <w:i w:val="false"/>
          <w:color w:val="000000"/>
          <w:sz w:val="22"/>
        </w:rPr>
        <w:t xml:space="preserve"> from fertilization to live birth—that is, at all stages of development, including embryo and fetus.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“Woman” </w:t>
      </w:r>
      <w:r>
        <w:rPr>
          <w:rFonts w:ascii="Times New Roman" w:hAnsi="Times New Roman"/>
          <w:b w:val="false"/>
          <w:i w:val="false"/>
          <w:color w:val="000000"/>
          <w:sz w:val="22"/>
        </w:rPr>
        <w:t>means a female individual regardless of her 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655.15(3)</w:t>
      </w:r>
      <w:r>
        <w:rPr>
          <w:rFonts w:ascii="Times New Roman" w:hAnsi="Times New Roman"/>
          <w:b w:val="false"/>
          <w:i w:val="false"/>
          <w:color w:val="000000"/>
          <w:sz w:val="22"/>
        </w:rPr>
        <w:t> </w:t>
      </w:r>
      <w:r>
        <w:rPr>
          <w:rFonts w:ascii="Times New Roman" w:hAnsi="Times New Roman"/>
          <w:b w:val="false"/>
          <w:i/>
          <w:color w:val="000000"/>
          <w:sz w:val="22"/>
        </w:rPr>
        <w:t xml:space="preserve">Detection of fetal heartbeat. </w:t>
      </w:r>
      <w:r>
        <w:rPr>
          <w:rFonts w:ascii="Times New Roman" w:hAnsi="Times New Roman"/>
          <w:b w:val="false"/>
          <w:i w:val="false"/>
          <w:color w:val="000000"/>
          <w:sz w:val="22"/>
        </w:rPr>
        <w:t>A physician who intends to perform or induce an abortion must determine via ultrasound whether the woman is carrying an unborn child with a detectable fetal heartbeat.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Obligation. </w:t>
      </w:r>
      <w:r>
        <w:rPr>
          <w:rFonts w:ascii="Times New Roman" w:hAnsi="Times New Roman"/>
          <w:b w:val="false"/>
          <w:i w:val="false"/>
          <w:color w:val="000000"/>
          <w:sz w:val="22"/>
        </w:rPr>
        <w:t>The obligation under this rule requires a bona fide effort to detect a fetal heartbeat in the unborn child. This effort must be made in good faith and according to standard medical practice and reasonable medical judgment.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Method. </w:t>
      </w:r>
      <w:r>
        <w:rPr>
          <w:rFonts w:ascii="Times New Roman" w:hAnsi="Times New Roman"/>
          <w:b w:val="false"/>
          <w:i w:val="false"/>
          <w:color w:val="000000"/>
          <w:sz w:val="22"/>
        </w:rPr>
        <w:t>The physician shall perform a transabdominal pelvic ultrasound on the woman to determine whether the unborn child has a detectable fetal heartbeat. This shall be performed in a manner consistent with standard medical practice, with real-time ultrasound equipment with a transducer of appropriate frequency. The equipment must be properly maintained and in proper functioning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655.15(4)</w:t>
      </w:r>
      <w:r>
        <w:rPr>
          <w:rFonts w:ascii="Times New Roman" w:hAnsi="Times New Roman"/>
          <w:b w:val="false"/>
          <w:i w:val="false"/>
          <w:color w:val="000000"/>
          <w:sz w:val="22"/>
        </w:rPr>
        <w:t> </w:t>
      </w:r>
      <w:r>
        <w:rPr>
          <w:rFonts w:ascii="Times New Roman" w:hAnsi="Times New Roman"/>
          <w:b w:val="false"/>
          <w:i/>
          <w:color w:val="000000"/>
          <w:sz w:val="22"/>
        </w:rPr>
        <w:t xml:space="preserve">Fetal heartbeat exceptions. </w:t>
      </w:r>
      <w:r>
        <w:rPr>
          <w:rFonts w:ascii="Times New Roman" w:hAnsi="Times New Roman"/>
          <w:b w:val="false"/>
          <w:i w:val="false"/>
          <w:color w:val="000000"/>
          <w:sz w:val="22"/>
        </w:rPr>
        <w:t xml:space="preserve">The following applies to a physician who intends to perform or induce an abortion under a fetal heartbeat exception as defined in Iowa Code chapter </w:t>
      </w:r>
      <w:hyperlink r:id="rId68">
        <w:r>
          <w:rPr>
            <w:rStyle w:val="Hyperlink"/>
            <w:rFonts w:ascii="Times New Roman" w:hAnsi="Times New Roman"/>
            <w:b w:val="false"/>
            <w:i w:val="false"/>
            <w:color w:val="000000"/>
            <w:sz w:val="22"/>
          </w:rPr>
          <w:t>146E</w:t>
        </w:r>
      </w:hyperlink>
      <w:r>
        <w:rPr>
          <w:rFonts w:ascii="Times New Roman" w:hAnsi="Times New Roman"/>
          <w:b w:val="false"/>
          <w:i w:val="false"/>
          <w:color w:val="000000"/>
          <w:sz w:val="22"/>
        </w:rPr>
        <w:t xml:space="preserve"> and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Incest or rape. </w:t>
      </w:r>
      <w:r>
        <w:rPr>
          <w:rFonts w:ascii="Times New Roman" w:hAnsi="Times New Roman"/>
          <w:b w:val="false"/>
          <w:i w:val="false"/>
          <w:color w:val="000000"/>
          <w:sz w:val="22"/>
        </w:rPr>
        <w:t>For purposes of this rule, a pregnancy resulting from incest or rape may be reported within the appropriate time frame to a licensed physician whose services are retained for an abortion procedure.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 determine whether the pregnancy is the result of incest, a physician who intends to perform or induce an abortion must use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Whether the sex act occurred between the woman and a closely related person, meaning, either legitimately or illegitimately, an ancestor, descendant, brother or sister of the whole or half blood, aunt, uncle, niece, or nephew, including a stepparent, stepchild, or stepsibling to include an adopted sibling.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date the act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initial reporting was to someone other than the physician who intends to perform or induce an abortion, the date the act was reported to a law enforcement agency, public health agency, private health agency, or family physician.</w:t>
      </w:r>
    </w:p>
    <w:p>
      <w:pPr>
        <w:spacing w:before="0" w:after="0"/>
        <w:ind w:left="120"/>
        <w:jc w:val="both"/>
      </w:pPr>
      <w:r>
        <w:rPr>
          <w:rFonts w:ascii="Times New Roman" w:hAnsi="Times New Roman"/>
          <w:b w:val="false"/>
          <w:i w:val="false"/>
          <w:color w:val="000000"/>
          <w:sz w:val="22"/>
        </w:rPr>
        <w:t>The physician who intends to perform or induce an abortion shall use this information to determine whether the fetal heartbeat exception for incest applies. This information does not prescribe the manner in which the physician is to obtain this information. This information and its source shall be documented in the woman’s medical records.</w:t>
      </w:r>
    </w:p>
    <w:p>
      <w:pPr>
        <w:spacing w:before="0" w:after="0"/>
        <w:ind w:left="120"/>
        <w:jc w:val="both"/>
      </w:pPr>
      <w:r>
        <w:rPr>
          <w:rFonts w:ascii="Times New Roman" w:hAnsi="Times New Roman"/>
          <w:b w:val="false"/>
          <w:i w:val="false"/>
          <w:color w:val="000000"/>
          <w:sz w:val="22"/>
        </w:rPr>
        <w:t>The physician who intends to perform or induce an abortion may rely on the information received upon a good-faith assessment that the information is true. The physician who intends to perform or induce an abortion may require the person providing the information to sign a certification form attesting that the information is true.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To determine whether the pregnancy is the result of a rape, a physician who intends to perform or induce an abortion must use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date the sex act that caused the pregnancy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age of the woman seeking an abortion at the time of that sex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Whether the sex act constituted a rape.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Whether the rape was perpetrated against the woman seeking an abortion.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If initial reporting was to someone other than the physician who intends to perform or induce an abortion, the date the rape was reported to a law enforcement agency, public health agency, private health agency, or family physician.</w:t>
      </w:r>
    </w:p>
    <w:p>
      <w:pPr>
        <w:spacing w:before="0" w:after="0"/>
        <w:ind w:left="120"/>
        <w:jc w:val="both"/>
      </w:pPr>
      <w:r>
        <w:rPr>
          <w:rFonts w:ascii="Times New Roman" w:hAnsi="Times New Roman"/>
          <w:b w:val="false"/>
          <w:i w:val="false"/>
          <w:color w:val="000000"/>
          <w:sz w:val="22"/>
        </w:rPr>
        <w:t>The physician who intends to perform or induce an abortion shall use this information to determine whether the fetal heartbeat exception for rape applies. This rule does not prescribe the manner in which the physician is to obtain this information. This information and its source shall be documented in the woman’s medical records.</w:t>
      </w:r>
    </w:p>
    <w:p>
      <w:pPr>
        <w:spacing w:before="0" w:after="0"/>
        <w:ind w:left="120"/>
        <w:jc w:val="both"/>
      </w:pPr>
      <w:r>
        <w:rPr>
          <w:rFonts w:ascii="Times New Roman" w:hAnsi="Times New Roman"/>
          <w:b w:val="false"/>
          <w:i w:val="false"/>
          <w:color w:val="000000"/>
          <w:sz w:val="22"/>
        </w:rPr>
        <w:t>The physician who intends to perform or induce an abortion may rely on the information received upon a good-faith assessment that the information is true. The physician who intends to perform or induce an abortion may require the person providing the information to sign a certification form attesting that the information is true.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Fetal abnormality. </w:t>
      </w:r>
      <w:r>
        <w:rPr>
          <w:rFonts w:ascii="Times New Roman" w:hAnsi="Times New Roman"/>
          <w:b w:val="false"/>
          <w:i w:val="false"/>
          <w:color w:val="000000"/>
          <w:sz w:val="22"/>
        </w:rPr>
        <w:t>A certification from an attending physician that a fetus has a fetal abnormality that in the attending physician’s reasonable medical judgment is incompatible with life must contain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diagnosis of the abnormality;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basis for the diagnosis, including the tests and procedures performed, the results of those tests and procedures, and why those results support the diagnosis;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description of why the abnormality is incompatible with life.</w:t>
      </w:r>
    </w:p>
    <w:p>
      <w:pPr>
        <w:spacing w:before="0" w:after="0"/>
        <w:ind w:left="120"/>
        <w:jc w:val="both"/>
      </w:pPr>
      <w:r>
        <w:rPr>
          <w:rFonts w:ascii="Times New Roman" w:hAnsi="Times New Roman"/>
          <w:b w:val="false"/>
          <w:i w:val="false"/>
          <w:color w:val="000000"/>
          <w:sz w:val="22"/>
        </w:rPr>
        <w:t>The diagnosis and the attending physician’s conclusion must be reached in good faith following a bona fide effort, consistent with standard medical practice and reasonable medical judgment, to determine the health of the fetus. The certification must be signed by the attending physician. A physician who intends to perform or induce an abortion may rely in good faith on a certification from an attending physician if the physician who intends to perform or induce an abortion has a copy of the certification. The certification must be included in the woman’s medical records by the physician who intends to perform or induce an abortion.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655.15(5)</w:t>
      </w:r>
      <w:r>
        <w:rPr>
          <w:rFonts w:ascii="Times New Roman" w:hAnsi="Times New Roman"/>
          <w:b w:val="false"/>
          <w:i w:val="false"/>
          <w:color w:val="000000"/>
          <w:sz w:val="22"/>
        </w:rPr>
        <w:t> </w:t>
      </w:r>
      <w:r>
        <w:rPr>
          <w:rFonts w:ascii="Times New Roman" w:hAnsi="Times New Roman"/>
          <w:b w:val="false"/>
          <w:i/>
          <w:color w:val="000000"/>
          <w:sz w:val="22"/>
        </w:rPr>
        <w:t xml:space="preserve">Discipline. </w:t>
      </w:r>
      <w:r>
        <w:rPr>
          <w:rFonts w:ascii="Times New Roman" w:hAnsi="Times New Roman"/>
          <w:b w:val="false"/>
          <w:i w:val="false"/>
          <w:color w:val="000000"/>
          <w:sz w:val="22"/>
        </w:rPr>
        <w:t xml:space="preserve">Failure to comply with this rule or the requirements of Iowa Code chapter </w:t>
      </w:r>
      <w:hyperlink r:id="rId69">
        <w:r>
          <w:rPr>
            <w:rStyle w:val="Hyperlink"/>
            <w:rFonts w:ascii="Times New Roman" w:hAnsi="Times New Roman"/>
            <w:b w:val="false"/>
            <w:i w:val="false"/>
            <w:color w:val="000000"/>
            <w:sz w:val="22"/>
          </w:rPr>
          <w:t>146E</w:t>
        </w:r>
      </w:hyperlink>
      <w:r>
        <w:rPr>
          <w:rFonts w:ascii="Times New Roman" w:hAnsi="Times New Roman"/>
          <w:b w:val="false"/>
          <w:i w:val="false"/>
          <w:color w:val="000000"/>
          <w:sz w:val="22"/>
        </w:rPr>
        <w:t xml:space="preserve"> may constitute grounds for discipline.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9115C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481—655.16</w:t>
      </w:r>
      <w:r>
        <w:rPr>
          <w:rFonts w:ascii="Times New Roman" w:hAnsi="Times New Roman"/>
          <w:b/>
          <w:i w:val="false"/>
          <w:color w:val="000000"/>
          <w:sz w:val="22"/>
        </w:rPr>
        <w:t xml:space="preserve">(147,148) </w:t>
      </w:r>
      <w:r>
        <w:rPr>
          <w:rFonts w:ascii="Times New Roman" w:hAnsi="Times New Roman"/>
          <w:b/>
          <w:i w:val="false"/>
          <w:color w:val="000000"/>
          <w:sz w:val="22"/>
        </w:rPr>
        <w:t xml:space="preserve">Principles of medical ethics. </w:t>
      </w:r>
      <w:r>
        <w:rPr>
          <w:rFonts w:ascii="Times New Roman" w:hAnsi="Times New Roman"/>
          <w:b w:val="false"/>
          <w:i w:val="false"/>
          <w:color w:val="000000"/>
          <w:sz w:val="22"/>
        </w:rPr>
        <w:t>The Code of Medical Ethics (2002-2003) prepared and approved by the American Medical Association and the Code of Ethics (2002-2003) prepared and approved by the American Osteopathic Association is utilized by the board as guiding principles in the practice of medicine and surgery and osteopathic medicine and surgery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655.16(1)</w:t>
      </w:r>
      <w:r>
        <w:rPr>
          <w:rFonts w:ascii="Times New Roman" w:hAnsi="Times New Roman"/>
          <w:b w:val="false"/>
          <w:i w:val="false"/>
          <w:color w:val="000000"/>
          <w:sz w:val="22"/>
        </w:rPr>
        <w:t> </w:t>
      </w:r>
      <w:r>
        <w:rPr>
          <w:rFonts w:ascii="Times New Roman" w:hAnsi="Times New Roman"/>
          <w:b w:val="false"/>
          <w:i/>
          <w:color w:val="000000"/>
          <w:sz w:val="22"/>
        </w:rPr>
        <w:t xml:space="preserve">Conflict of interest. </w:t>
      </w:r>
      <w:r>
        <w:rPr>
          <w:rFonts w:ascii="Times New Roman" w:hAnsi="Times New Roman"/>
          <w:b w:val="false"/>
          <w:i w:val="false"/>
          <w:color w:val="000000"/>
          <w:sz w:val="22"/>
        </w:rPr>
        <w:t>A physician should not provide medical services under terms or conditions that tend to interfere with or impair the free and complete exercise of the physician’s medical judgment and skill or tend to cause a deterioration of the quality of medical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655.16(2)</w:t>
      </w:r>
      <w:r>
        <w:rPr>
          <w:rFonts w:ascii="Times New Roman" w:hAnsi="Times New Roman"/>
          <w:b w:val="false"/>
          <w:i w:val="false"/>
          <w:color w:val="000000"/>
          <w:sz w:val="22"/>
        </w:rPr>
        <w:t> </w:t>
      </w:r>
      <w:r>
        <w:rPr>
          <w:rFonts w:ascii="Times New Roman" w:hAnsi="Times New Roman"/>
          <w:b w:val="false"/>
          <w:i/>
          <w:color w:val="000000"/>
          <w:sz w:val="22"/>
        </w:rPr>
        <w:t xml:space="preserve">Fees. </w:t>
      </w:r>
      <w:r>
        <w:rPr>
          <w:rFonts w:ascii="Times New Roman" w:hAnsi="Times New Roman"/>
          <w:b w:val="false"/>
          <w:i w:val="false"/>
          <w:color w:val="000000"/>
          <w:sz w:val="22"/>
        </w:rPr>
        <w:t>Any fee charged by a physician shall be reasonable.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9115C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481—655.17</w:t>
      </w:r>
      <w:r>
        <w:rPr>
          <w:rFonts w:ascii="Times New Roman" w:hAnsi="Times New Roman"/>
          <w:b/>
          <w:i w:val="false"/>
          <w:color w:val="000000"/>
          <w:sz w:val="22"/>
        </w:rPr>
        <w:t xml:space="preserve">(147A) </w:t>
      </w:r>
      <w:r>
        <w:rPr>
          <w:rFonts w:ascii="Times New Roman" w:hAnsi="Times New Roman"/>
          <w:b/>
          <w:i w:val="false"/>
          <w:color w:val="000000"/>
          <w:sz w:val="22"/>
        </w:rPr>
        <w:t xml:space="preserve">Emergency medical care provider. </w:t>
      </w:r>
      <w:r>
        <w:rPr>
          <w:rFonts w:ascii="Times New Roman" w:hAnsi="Times New Roman"/>
          <w:b w:val="false"/>
          <w:i w:val="false"/>
          <w:color w:val="000000"/>
          <w:sz w:val="22"/>
        </w:rPr>
        <w:t>A physician with a license in good standing may be staffed on an authorized emergency medical services (EMS) program provided the physician can document equivalency through education and additional skills training essential in the delivery of out-of-hospital emergency care. The equivalency shall be accepted when documentation has been reviewed and approved at the local level by the medical director of the authorized EMS service program and the department of health and human services bureau of emergency medical and trauma services in accordance with the form adopted by the department of health and human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9115C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70">
        <w:r>
          <w:rPr>
            <w:rStyle w:val="Hyperlink"/>
            <w:rFonts w:ascii="Times New Roman" w:hAnsi="Times New Roman"/>
            <w:b w:val="false"/>
            <w:i w:val="false"/>
            <w:color w:val="000000"/>
            <w:sz w:val="22"/>
          </w:rPr>
          <w:t>124</w:t>
        </w:r>
      </w:hyperlink>
      <w:r>
        <w:rPr>
          <w:rFonts w:ascii="Times New Roman" w:hAnsi="Times New Roman"/>
          <w:b w:val="false"/>
          <w:i w:val="false"/>
          <w:color w:val="000000"/>
          <w:sz w:val="22"/>
        </w:rPr>
        <w:t xml:space="preserve">, </w:t>
      </w:r>
      <w:hyperlink r:id="rId71">
        <w:r>
          <w:rPr>
            <w:rStyle w:val="Hyperlink"/>
            <w:rFonts w:ascii="Times New Roman" w:hAnsi="Times New Roman"/>
            <w:b w:val="false"/>
            <w:i w:val="false"/>
            <w:color w:val="000000"/>
            <w:sz w:val="22"/>
          </w:rPr>
          <w:t>124E</w:t>
        </w:r>
      </w:hyperlink>
      <w:r>
        <w:rPr>
          <w:rFonts w:ascii="Times New Roman" w:hAnsi="Times New Roman"/>
          <w:b w:val="false"/>
          <w:i w:val="false"/>
          <w:color w:val="000000"/>
          <w:sz w:val="22"/>
        </w:rPr>
        <w:t xml:space="preserve">, </w:t>
      </w:r>
      <w:hyperlink r:id="rId72">
        <w:r>
          <w:rPr>
            <w:rStyle w:val="Hyperlink"/>
            <w:rFonts w:ascii="Times New Roman" w:hAnsi="Times New Roman"/>
            <w:b w:val="false"/>
            <w:i w:val="false"/>
            <w:color w:val="000000"/>
            <w:sz w:val="22"/>
          </w:rPr>
          <w:t>144E</w:t>
        </w:r>
      </w:hyperlink>
      <w:r>
        <w:rPr>
          <w:rFonts w:ascii="Times New Roman" w:hAnsi="Times New Roman"/>
          <w:b w:val="false"/>
          <w:i w:val="false"/>
          <w:color w:val="000000"/>
          <w:sz w:val="22"/>
        </w:rPr>
        <w:t xml:space="preserve">, </w:t>
      </w:r>
      <w:hyperlink r:id="rId73">
        <w:r>
          <w:rPr>
            <w:rStyle w:val="Hyperlink"/>
            <w:rFonts w:ascii="Times New Roman" w:hAnsi="Times New Roman"/>
            <w:b w:val="false"/>
            <w:i w:val="false"/>
            <w:color w:val="000000"/>
            <w:sz w:val="22"/>
          </w:rPr>
          <w:t>146E</w:t>
        </w:r>
      </w:hyperlink>
      <w:r>
        <w:rPr>
          <w:rFonts w:ascii="Times New Roman" w:hAnsi="Times New Roman"/>
          <w:b w:val="false"/>
          <w:i w:val="false"/>
          <w:color w:val="000000"/>
          <w:sz w:val="22"/>
        </w:rPr>
        <w:t xml:space="preserve">, </w:t>
      </w:r>
      <w:hyperlink r:id="rId74">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 xml:space="preserve"> and </w:t>
      </w:r>
      <w:hyperlink r:id="rId75">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sections </w:t>
      </w:r>
      <w:hyperlink r:id="rId76">
        <w:r>
          <w:rPr>
            <w:rStyle w:val="Hyperlink"/>
            <w:rFonts w:ascii="Times New Roman" w:hAnsi="Times New Roman"/>
            <w:b w:val="false"/>
            <w:i w:val="false"/>
            <w:color w:val="000000"/>
            <w:sz w:val="22"/>
          </w:rPr>
          <w:t>147.55</w:t>
        </w:r>
      </w:hyperlink>
      <w:r>
        <w:rPr>
          <w:rFonts w:ascii="Times New Roman" w:hAnsi="Times New Roman"/>
          <w:b w:val="false"/>
          <w:i w:val="false"/>
          <w:color w:val="000000"/>
          <w:sz w:val="22"/>
        </w:rPr>
        <w:t xml:space="preserve">, </w:t>
      </w:r>
      <w:hyperlink r:id="rId77">
        <w:r>
          <w:rPr>
            <w:rStyle w:val="Hyperlink"/>
            <w:rFonts w:ascii="Times New Roman" w:hAnsi="Times New Roman"/>
            <w:b w:val="false"/>
            <w:i w:val="false"/>
            <w:color w:val="000000"/>
            <w:sz w:val="22"/>
          </w:rPr>
          <w:t>148.6</w:t>
        </w:r>
      </w:hyperlink>
      <w:r>
        <w:rPr>
          <w:rFonts w:ascii="Times New Roman" w:hAnsi="Times New Roman"/>
          <w:b w:val="false"/>
          <w:i w:val="false"/>
          <w:color w:val="000000"/>
          <w:sz w:val="22"/>
        </w:rPr>
        <w:t xml:space="preserve">, </w:t>
      </w:r>
      <w:hyperlink r:id="rId78">
        <w:r>
          <w:rPr>
            <w:rStyle w:val="Hyperlink"/>
            <w:rFonts w:ascii="Times New Roman" w:hAnsi="Times New Roman"/>
            <w:b w:val="false"/>
            <w:i w:val="false"/>
            <w:color w:val="000000"/>
            <w:sz w:val="22"/>
          </w:rPr>
          <w:t>147.107</w:t>
        </w:r>
      </w:hyperlink>
      <w:r>
        <w:rPr>
          <w:rFonts w:ascii="Times New Roman" w:hAnsi="Times New Roman"/>
          <w:b w:val="false"/>
          <w:i w:val="false"/>
          <w:color w:val="000000"/>
          <w:sz w:val="22"/>
        </w:rPr>
        <w:t xml:space="preserve">, </w:t>
      </w:r>
      <w:hyperlink r:id="rId79">
        <w:r>
          <w:rPr>
            <w:rStyle w:val="Hyperlink"/>
            <w:rFonts w:ascii="Times New Roman" w:hAnsi="Times New Roman"/>
            <w:b w:val="false"/>
            <w:i w:val="false"/>
            <w:color w:val="000000"/>
            <w:sz w:val="22"/>
          </w:rPr>
          <w:t>272C.3</w:t>
        </w:r>
      </w:hyperlink>
      <w:r>
        <w:rPr>
          <w:rFonts w:ascii="Times New Roman" w:hAnsi="Times New Roman"/>
          <w:b w:val="false"/>
          <w:i w:val="false"/>
          <w:color w:val="000000"/>
          <w:sz w:val="22"/>
        </w:rPr>
        <w:t xml:space="preserve"> and </w:t>
      </w:r>
      <w:hyperlink r:id="rId80">
        <w:r>
          <w:rPr>
            <w:rStyle w:val="Hyperlink"/>
            <w:rFonts w:ascii="Times New Roman" w:hAnsi="Times New Roman"/>
            <w:b w:val="false"/>
            <w:i w:val="false"/>
            <w:color w:val="000000"/>
            <w:sz w:val="22"/>
          </w:rPr>
          <w:t>272C.4</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2/5/79, Notice 11/29/78—published 2/21/79, effective 3/29/79]</w:t>
      </w:r>
    </w:p>
    <w:p>
      <w:pPr>
        <w:spacing w:before="0" w:after="0"/>
        <w:ind w:left="120"/>
        <w:jc w:val="center"/>
      </w:pPr>
      <w:r>
        <w:rPr>
          <w:rFonts w:ascii="Times New Roman" w:hAnsi="Times New Roman"/>
          <w:b w:val="false"/>
          <w:i w:val="false"/>
          <w:color w:val="000000"/>
          <w:sz w:val="21"/>
        </w:rPr>
        <w:t>[Filed 3/13/81, Notice 1/7/81—published 4/1/81, effective 5/6/81]</w:t>
      </w:r>
    </w:p>
    <w:p>
      <w:pPr>
        <w:spacing w:before="0" w:after="0"/>
        <w:ind w:left="120"/>
        <w:jc w:val="center"/>
      </w:pPr>
      <w:r>
        <w:rPr>
          <w:rFonts w:ascii="Times New Roman" w:hAnsi="Times New Roman"/>
          <w:b w:val="false"/>
          <w:i w:val="false"/>
          <w:color w:val="000000"/>
          <w:sz w:val="21"/>
        </w:rPr>
        <w:t>[Filed emergency 4/15/88—published 5/4/88, effective 4/15/88]</w:t>
      </w:r>
    </w:p>
    <w:p>
      <w:pPr>
        <w:spacing w:before="0" w:after="0"/>
        <w:ind w:left="120"/>
        <w:jc w:val="center"/>
      </w:pPr>
      <w:r>
        <w:rPr>
          <w:rFonts w:ascii="Times New Roman" w:hAnsi="Times New Roman"/>
          <w:b w:val="false"/>
          <w:i w:val="false"/>
          <w:color w:val="000000"/>
          <w:sz w:val="21"/>
        </w:rPr>
        <w:t>[Filed 5/11/90, Notice 3/7/90—published 5/30/90, effective 6/6/90]</w:t>
      </w:r>
    </w:p>
    <w:p>
      <w:pPr>
        <w:spacing w:before="0" w:after="0"/>
        <w:ind w:left="120"/>
        <w:jc w:val="center"/>
      </w:pPr>
      <w:r>
        <w:rPr>
          <w:rFonts w:ascii="Times New Roman" w:hAnsi="Times New Roman"/>
          <w:b w:val="false"/>
          <w:i w:val="false"/>
          <w:color w:val="000000"/>
          <w:sz w:val="21"/>
        </w:rPr>
        <w:t>[Filed 3/22/96, Notice 9/27/95—published 4/10/96, effective 6/15/96]</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11/22/96, Notice 8/28/96—published 12/18/96, effective 1/22/97]</w:t>
      </w:r>
    </w:p>
    <w:p>
      <w:pPr>
        <w:spacing w:before="0" w:after="0"/>
        <w:ind w:left="120"/>
        <w:jc w:val="center"/>
      </w:pPr>
      <w:r>
        <w:rPr>
          <w:rFonts w:ascii="Times New Roman" w:hAnsi="Times New Roman"/>
          <w:b w:val="false"/>
          <w:i w:val="false"/>
          <w:color w:val="000000"/>
          <w:sz w:val="21"/>
        </w:rPr>
        <w:t>[Filed 5/2/97, Notice 3/26/97—published 5/21/97, effective 6/25/97]</w:t>
      </w:r>
    </w:p>
    <w:p>
      <w:pPr>
        <w:spacing w:before="0" w:after="0"/>
        <w:ind w:left="120"/>
        <w:jc w:val="center"/>
      </w:pPr>
      <w:r>
        <w:rPr>
          <w:rFonts w:ascii="Times New Roman" w:hAnsi="Times New Roman"/>
          <w:b w:val="false"/>
          <w:i w:val="false"/>
          <w:color w:val="000000"/>
          <w:sz w:val="21"/>
        </w:rPr>
        <w:t>[Filed 11/7/00, Notice 4/19/00—published 11/29/00, effective 1/3/01]</w:t>
      </w:r>
    </w:p>
    <w:p>
      <w:pPr>
        <w:spacing w:before="0" w:after="0"/>
        <w:ind w:left="120"/>
        <w:jc w:val="center"/>
      </w:pPr>
      <w:r>
        <w:rPr>
          <w:rFonts w:ascii="Times New Roman" w:hAnsi="Times New Roman"/>
          <w:b w:val="false"/>
          <w:i w:val="false"/>
          <w:color w:val="000000"/>
          <w:sz w:val="21"/>
        </w:rPr>
        <w:t>[Filed 12/1/00, Notice 10/18/00—published 12/27/00, effective 1/31/01]</w:t>
      </w:r>
    </w:p>
    <w:p>
      <w:pPr>
        <w:spacing w:before="0" w:after="0"/>
        <w:ind w:left="120"/>
        <w:jc w:val="center"/>
      </w:pPr>
      <w:r>
        <w:rPr>
          <w:rFonts w:ascii="Times New Roman" w:hAnsi="Times New Roman"/>
          <w:b w:val="false"/>
          <w:i w:val="false"/>
          <w:color w:val="000000"/>
          <w:sz w:val="21"/>
        </w:rPr>
        <w:t>[Filed 2/16/01, Notice 12/27/00—published 3/7/01, effective 4/11/01]</w:t>
      </w:r>
    </w:p>
    <w:p>
      <w:pPr>
        <w:spacing w:before="0" w:after="0"/>
        <w:ind w:left="120"/>
        <w:jc w:val="center"/>
      </w:pPr>
      <w:r>
        <w:rPr>
          <w:rFonts w:ascii="Times New Roman" w:hAnsi="Times New Roman"/>
          <w:b w:val="false"/>
          <w:i w:val="false"/>
          <w:color w:val="000000"/>
          <w:sz w:val="21"/>
        </w:rPr>
        <w:t>[Filed emergency 8/31/01 after Notice 7/25/01—published 9/19/01, effective 8/31/01]</w:t>
      </w:r>
    </w:p>
    <w:p>
      <w:pPr>
        <w:spacing w:before="0" w:after="0"/>
        <w:ind w:left="120"/>
        <w:jc w:val="center"/>
      </w:pPr>
      <w:r>
        <w:rPr>
          <w:rFonts w:ascii="Times New Roman" w:hAnsi="Times New Roman"/>
          <w:b w:val="false"/>
          <w:i w:val="false"/>
          <w:color w:val="000000"/>
          <w:sz w:val="21"/>
        </w:rPr>
        <w:t>[Filed 2/14/02, Notice 1/9/02—published 3/6/02, effective 4/10/02]</w:t>
      </w:r>
    </w:p>
    <w:p>
      <w:pPr>
        <w:spacing w:before="0" w:after="0"/>
        <w:ind w:left="120"/>
        <w:jc w:val="center"/>
      </w:pPr>
      <w:r>
        <w:rPr>
          <w:rFonts w:ascii="Times New Roman" w:hAnsi="Times New Roman"/>
          <w:b w:val="false"/>
          <w:i w:val="false"/>
          <w:color w:val="000000"/>
          <w:sz w:val="21"/>
        </w:rPr>
        <w:t>[Filed 6/6/02, Notice 5/1/02—published 6/26/02, effective 7/31/02]</w:t>
      </w:r>
    </w:p>
    <w:p>
      <w:pPr>
        <w:spacing w:before="0" w:after="0"/>
        <w:ind w:left="120"/>
        <w:jc w:val="center"/>
      </w:pPr>
      <w:r>
        <w:rPr>
          <w:rFonts w:ascii="Times New Roman" w:hAnsi="Times New Roman"/>
          <w:b w:val="false"/>
          <w:i w:val="false"/>
          <w:color w:val="000000"/>
          <w:sz w:val="21"/>
        </w:rPr>
        <w:t>[Filed 1/3/03, Notice 11/27/02—published 1/22/03, effective 2/26/03]</w:t>
      </w:r>
    </w:p>
    <w:p>
      <w:pPr>
        <w:spacing w:before="0" w:after="0"/>
        <w:ind w:left="120"/>
        <w:jc w:val="center"/>
      </w:pPr>
      <w:r>
        <w:rPr>
          <w:rFonts w:ascii="Times New Roman" w:hAnsi="Times New Roman"/>
          <w:b w:val="false"/>
          <w:i w:val="false"/>
          <w:color w:val="000000"/>
          <w:sz w:val="21"/>
        </w:rPr>
        <w:t>[Filed 12/4/03, Notice 8/20/03—published 12/24/03, effective 1/28/04]</w:t>
      </w:r>
    </w:p>
    <w:p>
      <w:pPr>
        <w:spacing w:before="0" w:after="0"/>
        <w:ind w:left="120"/>
        <w:jc w:val="center"/>
      </w:pPr>
      <w:r>
        <w:rPr>
          <w:rFonts w:ascii="Times New Roman" w:hAnsi="Times New Roman"/>
          <w:b w:val="false"/>
          <w:i w:val="false"/>
          <w:color w:val="000000"/>
          <w:sz w:val="21"/>
        </w:rPr>
        <w:t>[Filed 5/20/04, Notice 4/14/04—published 6/9/04, effective 7/14/04]</w:t>
      </w:r>
    </w:p>
    <w:p>
      <w:pPr>
        <w:spacing w:before="0" w:after="0"/>
        <w:ind w:left="120"/>
        <w:jc w:val="center"/>
      </w:pPr>
      <w:r>
        <w:rPr>
          <w:rFonts w:ascii="Times New Roman" w:hAnsi="Times New Roman"/>
          <w:b w:val="false"/>
          <w:i w:val="false"/>
          <w:color w:val="000000"/>
          <w:sz w:val="21"/>
        </w:rPr>
        <w:t>[Filed 5/3/06, Notice 2/15/06—published 5/24/06, effective 10/1/06]</w:t>
      </w:r>
    </w:p>
    <w:p>
      <w:pPr>
        <w:spacing w:before="0" w:after="0"/>
        <w:ind w:left="120"/>
        <w:jc w:val="center"/>
      </w:pPr>
      <w:r>
        <w:rPr>
          <w:rFonts w:ascii="Times New Roman" w:hAnsi="Times New Roman"/>
          <w:b w:val="false"/>
          <w:i w:val="false"/>
          <w:color w:val="000000"/>
          <w:sz w:val="21"/>
        </w:rPr>
        <w:t>[Filed 6/28/07, Notice 5/9/07—published 8/1/07, effective 9/5/07]</w:t>
      </w:r>
    </w:p>
    <w:p>
      <w:pPr>
        <w:spacing w:before="0" w:after="0"/>
        <w:ind w:left="120"/>
        <w:jc w:val="center"/>
      </w:pPr>
      <w:r>
        <w:rPr>
          <w:rFonts w:ascii="Times New Roman" w:hAnsi="Times New Roman"/>
          <w:b w:val="false"/>
          <w:i w:val="false"/>
          <w:color w:val="000000"/>
          <w:sz w:val="21"/>
        </w:rPr>
        <w:t>[Filed 4/3/08, Notice 2/13/08—published 4/23/08, effective 5/28/08]</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9/18/08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8/13/08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10/8/08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11/12/08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8918B</w:t>
      </w:r>
      <w:r>
        <w:rPr>
          <w:rFonts w:ascii="Times New Roman" w:hAnsi="Times New Roman"/>
          <w:b w:val="false"/>
          <w:i w:val="false"/>
          <w:color w:val="000000"/>
          <w:sz w:val="21"/>
        </w:rPr>
        <w:t xml:space="preserve"> (Notice ARC 8579B, IAB 3/10/10)</w:t>
      </w:r>
      <w:r>
        <w:rPr>
          <w:rFonts w:ascii="Times New Roman" w:hAnsi="Times New Roman"/>
          <w:b w:val="false"/>
          <w:i w:val="false"/>
          <w:color w:val="000000"/>
          <w:sz w:val="21"/>
        </w:rPr>
        <w:t>, IAB 6/30/10, effective 8/4/10]</w:t>
      </w:r>
    </w:p>
    <w:p>
      <w:pPr>
        <w:spacing w:before="0" w:after="0"/>
        <w:ind w:left="120"/>
        <w:jc w:val="center"/>
      </w:pPr>
      <w:r>
        <w:rPr>
          <w:rFonts w:ascii="Times New Roman" w:hAnsi="Times New Roman"/>
          <w:b w:val="false"/>
          <w:i w:val="false"/>
          <w:color w:val="000000"/>
          <w:sz w:val="21"/>
        </w:rPr>
        <w:t>[Filed ARC 9088B</w:t>
      </w:r>
      <w:r>
        <w:rPr>
          <w:rFonts w:ascii="Times New Roman" w:hAnsi="Times New Roman"/>
          <w:b w:val="false"/>
          <w:i w:val="false"/>
          <w:color w:val="000000"/>
          <w:sz w:val="21"/>
        </w:rPr>
        <w:t xml:space="preserve"> (Notice ARC 8925B, IAB 6/30/10)</w:t>
      </w:r>
      <w:r>
        <w:rPr>
          <w:rFonts w:ascii="Times New Roman" w:hAnsi="Times New Roman"/>
          <w:b w:val="false"/>
          <w:i w:val="false"/>
          <w:color w:val="000000"/>
          <w:sz w:val="21"/>
        </w:rPr>
        <w:t>, IAB 9/22/10, effective 10/27/10]</w:t>
      </w:r>
    </w:p>
    <w:p>
      <w:pPr>
        <w:spacing w:before="0" w:after="0"/>
        <w:ind w:left="120"/>
        <w:jc w:val="center"/>
      </w:pPr>
      <w:r>
        <w:rPr>
          <w:rFonts w:ascii="Times New Roman" w:hAnsi="Times New Roman"/>
          <w:b w:val="false"/>
          <w:i w:val="false"/>
          <w:color w:val="000000"/>
          <w:sz w:val="21"/>
        </w:rPr>
        <w:t>[Filed ARC 9599B</w:t>
      </w:r>
      <w:r>
        <w:rPr>
          <w:rFonts w:ascii="Times New Roman" w:hAnsi="Times New Roman"/>
          <w:b w:val="false"/>
          <w:i w:val="false"/>
          <w:color w:val="000000"/>
          <w:sz w:val="21"/>
        </w:rPr>
        <w:t xml:space="preserve"> (Notice ARC 9414B, IAB 3/9/11)</w:t>
      </w:r>
      <w:r>
        <w:rPr>
          <w:rFonts w:ascii="Times New Roman" w:hAnsi="Times New Roman"/>
          <w:b w:val="false"/>
          <w:i w:val="false"/>
          <w:color w:val="000000"/>
          <w:sz w:val="21"/>
        </w:rPr>
        <w:t>, IAB 7/13/11, effective 8/17/11]</w:t>
      </w:r>
    </w:p>
    <w:p>
      <w:pPr>
        <w:spacing w:before="0" w:after="0"/>
        <w:ind w:left="120"/>
        <w:jc w:val="center"/>
      </w:pPr>
      <w:r>
        <w:rPr>
          <w:rFonts w:ascii="Times New Roman" w:hAnsi="Times New Roman"/>
          <w:b w:val="false"/>
          <w:i w:val="false"/>
          <w:color w:val="000000"/>
          <w:sz w:val="21"/>
        </w:rPr>
        <w:t>[Filed ARC 1033C</w:t>
      </w:r>
      <w:r>
        <w:rPr>
          <w:rFonts w:ascii="Times New Roman" w:hAnsi="Times New Roman"/>
          <w:b w:val="false"/>
          <w:i w:val="false"/>
          <w:color w:val="000000"/>
          <w:sz w:val="21"/>
        </w:rPr>
        <w:t xml:space="preserve"> (Notice ARC 0890C, IAB 7/24/13)</w:t>
      </w:r>
      <w:r>
        <w:rPr>
          <w:rFonts w:ascii="Times New Roman" w:hAnsi="Times New Roman"/>
          <w:b w:val="false"/>
          <w:i w:val="false"/>
          <w:color w:val="000000"/>
          <w:sz w:val="21"/>
        </w:rPr>
        <w:t>, IAB 10/2/13, effective 11/6/13]</w:t>
      </w:r>
      <w:r>
        <w:br/>
      </w:r>
      <w:r>
        <w:rPr>
          <w:rFonts w:ascii="Times New Roman" w:hAnsi="Times New Roman"/>
          <w:b w:val="false"/>
          <w:i w:val="false"/>
          <w:color w:val="000000"/>
          <w:sz w:val="21"/>
        </w:rPr>
        <w:t>[Filed ARC 1034C</w:t>
      </w:r>
      <w:r>
        <w:rPr>
          <w:rFonts w:ascii="Times New Roman" w:hAnsi="Times New Roman"/>
          <w:b w:val="false"/>
          <w:i w:val="false"/>
          <w:color w:val="000000"/>
          <w:sz w:val="21"/>
        </w:rPr>
        <w:t xml:space="preserve"> (Notice ARC 0891C, IAB 7/24/13)</w:t>
      </w:r>
      <w:r>
        <w:rPr>
          <w:rFonts w:ascii="Times New Roman" w:hAnsi="Times New Roman"/>
          <w:b w:val="false"/>
          <w:i w:val="false"/>
          <w:color w:val="000000"/>
          <w:sz w:val="21"/>
        </w:rPr>
        <w:t>, IAB 10/2/13, effective 11/6/13]</w:t>
      </w:r>
    </w:p>
    <w:p>
      <w:pPr>
        <w:spacing w:before="0" w:after="0"/>
        <w:ind w:left="120"/>
        <w:jc w:val="center"/>
      </w:pPr>
      <w:r>
        <w:rPr>
          <w:rFonts w:ascii="Times New Roman" w:hAnsi="Times New Roman"/>
          <w:b w:val="false"/>
          <w:i w:val="false"/>
          <w:color w:val="000000"/>
          <w:sz w:val="21"/>
        </w:rPr>
        <w:t>[Filed ARC 1983C</w:t>
      </w:r>
      <w:r>
        <w:rPr>
          <w:rFonts w:ascii="Times New Roman" w:hAnsi="Times New Roman"/>
          <w:b w:val="false"/>
          <w:i w:val="false"/>
          <w:color w:val="000000"/>
          <w:sz w:val="21"/>
        </w:rPr>
        <w:t xml:space="preserve"> (Notice ARC 1769C, IAB 12/10/14)</w:t>
      </w:r>
      <w:r>
        <w:rPr>
          <w:rFonts w:ascii="Times New Roman" w:hAnsi="Times New Roman"/>
          <w:b w:val="false"/>
          <w:i w:val="false"/>
          <w:color w:val="000000"/>
          <w:sz w:val="21"/>
        </w:rPr>
        <w:t>, IAB 4/29/15, effective 6/3/15]</w:t>
      </w:r>
    </w:p>
    <w:p>
      <w:pPr>
        <w:spacing w:before="0" w:after="0"/>
        <w:ind w:left="120"/>
        <w:jc w:val="center"/>
      </w:pPr>
      <w:r>
        <w:rPr>
          <w:rFonts w:ascii="Times New Roman" w:hAnsi="Times New Roman"/>
          <w:b w:val="false"/>
          <w:i w:val="false"/>
          <w:color w:val="000000"/>
          <w:sz w:val="21"/>
        </w:rPr>
        <w:t>[Filed ARC 2387C</w:t>
      </w:r>
      <w:r>
        <w:rPr>
          <w:rFonts w:ascii="Times New Roman" w:hAnsi="Times New Roman"/>
          <w:b w:val="false"/>
          <w:i w:val="false"/>
          <w:color w:val="000000"/>
          <w:sz w:val="21"/>
        </w:rPr>
        <w:t xml:space="preserve"> (Notice ARC 2249C, IAB 11/25/15)</w:t>
      </w:r>
      <w:r>
        <w:rPr>
          <w:rFonts w:ascii="Times New Roman" w:hAnsi="Times New Roman"/>
          <w:b w:val="false"/>
          <w:i w:val="false"/>
          <w:color w:val="000000"/>
          <w:sz w:val="21"/>
        </w:rPr>
        <w:t>, IAB 2/3/16, effective 3/9/16]</w:t>
      </w:r>
    </w:p>
    <w:p>
      <w:pPr>
        <w:spacing w:before="0" w:after="0"/>
        <w:ind w:left="120"/>
        <w:jc w:val="center"/>
      </w:pPr>
      <w:r>
        <w:rPr>
          <w:rFonts w:ascii="Times New Roman" w:hAnsi="Times New Roman"/>
          <w:b w:val="false"/>
          <w:i w:val="false"/>
          <w:color w:val="000000"/>
          <w:sz w:val="21"/>
        </w:rPr>
        <w:t>[Filed ARC 2705C</w:t>
      </w:r>
      <w:r>
        <w:rPr>
          <w:rFonts w:ascii="Times New Roman" w:hAnsi="Times New Roman"/>
          <w:b w:val="false"/>
          <w:i w:val="false"/>
          <w:color w:val="000000"/>
          <w:sz w:val="21"/>
        </w:rPr>
        <w:t xml:space="preserve"> (Notice ARC 2535C, IAB 5/11/16)</w:t>
      </w:r>
      <w:r>
        <w:rPr>
          <w:rFonts w:ascii="Times New Roman" w:hAnsi="Times New Roman"/>
          <w:b w:val="false"/>
          <w:i w:val="false"/>
          <w:color w:val="000000"/>
          <w:sz w:val="21"/>
        </w:rPr>
        <w:t>, IAB 9/14/16, effective 10/19/16]</w:t>
      </w:r>
    </w:p>
    <w:p>
      <w:pPr>
        <w:spacing w:before="0" w:after="0"/>
        <w:ind w:left="120"/>
        <w:jc w:val="center"/>
      </w:pPr>
      <w:r>
        <w:rPr>
          <w:rFonts w:ascii="Times New Roman" w:hAnsi="Times New Roman"/>
          <w:b w:val="false"/>
          <w:i w:val="false"/>
          <w:color w:val="000000"/>
          <w:sz w:val="21"/>
        </w:rPr>
        <w:t>[Filed ARC 3588C</w:t>
      </w:r>
      <w:r>
        <w:rPr>
          <w:rFonts w:ascii="Times New Roman" w:hAnsi="Times New Roman"/>
          <w:b w:val="false"/>
          <w:i w:val="false"/>
          <w:color w:val="000000"/>
          <w:sz w:val="21"/>
        </w:rPr>
        <w:t xml:space="preserve"> (Notice ARC 3360C, IAB 10/11/17)</w:t>
      </w:r>
      <w:r>
        <w:rPr>
          <w:rFonts w:ascii="Times New Roman" w:hAnsi="Times New Roman"/>
          <w:b w:val="false"/>
          <w:i w:val="false"/>
          <w:color w:val="000000"/>
          <w:sz w:val="21"/>
        </w:rPr>
        <w:t>, IAB 1/17/18, effective 2/21/18]</w:t>
      </w:r>
      <w:r>
        <w:br/>
      </w:r>
      <w:r>
        <w:rPr>
          <w:rFonts w:ascii="Times New Roman" w:hAnsi="Times New Roman"/>
          <w:b w:val="false"/>
          <w:i w:val="false"/>
          <w:color w:val="000000"/>
          <w:sz w:val="21"/>
        </w:rPr>
        <w:t>[Filed ARC 3589C</w:t>
      </w:r>
      <w:r>
        <w:rPr>
          <w:rFonts w:ascii="Times New Roman" w:hAnsi="Times New Roman"/>
          <w:b w:val="false"/>
          <w:i w:val="false"/>
          <w:color w:val="000000"/>
          <w:sz w:val="21"/>
        </w:rPr>
        <w:t xml:space="preserve"> (Notice ARC 3361C, IAB 10/11/17)</w:t>
      </w:r>
      <w:r>
        <w:rPr>
          <w:rFonts w:ascii="Times New Roman" w:hAnsi="Times New Roman"/>
          <w:b w:val="false"/>
          <w:i w:val="false"/>
          <w:color w:val="000000"/>
          <w:sz w:val="21"/>
        </w:rPr>
        <w:t>, IAB 1/17/18, effective 2/21/18]</w:t>
      </w:r>
    </w:p>
    <w:p>
      <w:pPr>
        <w:spacing w:before="0" w:after="0"/>
        <w:ind w:left="120"/>
        <w:jc w:val="center"/>
      </w:pPr>
      <w:r>
        <w:rPr>
          <w:rFonts w:ascii="Times New Roman" w:hAnsi="Times New Roman"/>
          <w:b w:val="false"/>
          <w:i w:val="false"/>
          <w:color w:val="000000"/>
          <w:sz w:val="21"/>
        </w:rPr>
        <w:t>[Filed ARC 3830C</w:t>
      </w:r>
      <w:r>
        <w:rPr>
          <w:rFonts w:ascii="Times New Roman" w:hAnsi="Times New Roman"/>
          <w:b w:val="false"/>
          <w:i w:val="false"/>
          <w:color w:val="000000"/>
          <w:sz w:val="21"/>
        </w:rPr>
        <w:t xml:space="preserve"> (Notice ARC 3675C, IAB 3/14/18)</w:t>
      </w:r>
      <w:r>
        <w:rPr>
          <w:rFonts w:ascii="Times New Roman" w:hAnsi="Times New Roman"/>
          <w:b w:val="false"/>
          <w:i w:val="false"/>
          <w:color w:val="000000"/>
          <w:sz w:val="21"/>
        </w:rPr>
        <w:t>, IAB 6/6/18, effective 7/11/18]</w:t>
      </w:r>
    </w:p>
    <w:p>
      <w:pPr>
        <w:spacing w:before="0" w:after="0"/>
        <w:ind w:left="120"/>
        <w:jc w:val="center"/>
      </w:pPr>
      <w:r>
        <w:rPr>
          <w:rFonts w:ascii="Times New Roman" w:hAnsi="Times New Roman"/>
          <w:b w:val="false"/>
          <w:i w:val="false"/>
          <w:color w:val="000000"/>
          <w:sz w:val="21"/>
        </w:rPr>
        <w:t>[Filed ARC 4247C</w:t>
      </w:r>
      <w:r>
        <w:rPr>
          <w:rFonts w:ascii="Times New Roman" w:hAnsi="Times New Roman"/>
          <w:b w:val="false"/>
          <w:i w:val="false"/>
          <w:color w:val="000000"/>
          <w:sz w:val="21"/>
        </w:rPr>
        <w:t xml:space="preserve"> (Notice ARC 4093C, IAB 10/24/18)</w:t>
      </w:r>
      <w:r>
        <w:rPr>
          <w:rFonts w:ascii="Times New Roman" w:hAnsi="Times New Roman"/>
          <w:b w:val="false"/>
          <w:i w:val="false"/>
          <w:color w:val="000000"/>
          <w:sz w:val="21"/>
        </w:rPr>
        <w:t>, IAB 1/16/19, effective 2/20/19]</w:t>
      </w:r>
      <w:r>
        <w:br/>
      </w:r>
      <w:r>
        <w:rPr>
          <w:rFonts w:ascii="Times New Roman" w:hAnsi="Times New Roman"/>
          <w:b w:val="false"/>
          <w:i w:val="false"/>
          <w:color w:val="000000"/>
          <w:sz w:val="21"/>
        </w:rPr>
        <w:t>[Filed ARC 4248C</w:t>
      </w:r>
      <w:r>
        <w:rPr>
          <w:rFonts w:ascii="Times New Roman" w:hAnsi="Times New Roman"/>
          <w:b w:val="false"/>
          <w:i w:val="false"/>
          <w:color w:val="000000"/>
          <w:sz w:val="21"/>
        </w:rPr>
        <w:t xml:space="preserve"> (Notice ARC 4082C, IAB 10/24/18)</w:t>
      </w:r>
      <w:r>
        <w:rPr>
          <w:rFonts w:ascii="Times New Roman" w:hAnsi="Times New Roman"/>
          <w:b w:val="false"/>
          <w:i w:val="false"/>
          <w:color w:val="000000"/>
          <w:sz w:val="21"/>
        </w:rPr>
        <w:t>, IAB 1/16/19, effective 2/20/19]</w:t>
      </w:r>
    </w:p>
    <w:p>
      <w:pPr>
        <w:spacing w:before="0" w:after="0"/>
        <w:ind w:left="120"/>
        <w:jc w:val="center"/>
      </w:pPr>
      <w:r>
        <w:rPr>
          <w:rFonts w:ascii="Times New Roman" w:hAnsi="Times New Roman"/>
          <w:b w:val="false"/>
          <w:i w:val="false"/>
          <w:color w:val="000000"/>
          <w:sz w:val="21"/>
        </w:rPr>
        <w:t>[Filed ARC 4377C</w:t>
      </w:r>
      <w:r>
        <w:rPr>
          <w:rFonts w:ascii="Times New Roman" w:hAnsi="Times New Roman"/>
          <w:b w:val="false"/>
          <w:i w:val="false"/>
          <w:color w:val="000000"/>
          <w:sz w:val="21"/>
        </w:rPr>
        <w:t xml:space="preserve"> (Notice ARC 4241C, IAB 1/16/19)</w:t>
      </w:r>
      <w:r>
        <w:rPr>
          <w:rFonts w:ascii="Times New Roman" w:hAnsi="Times New Roman"/>
          <w:b w:val="false"/>
          <w:i w:val="false"/>
          <w:color w:val="000000"/>
          <w:sz w:val="21"/>
        </w:rPr>
        <w:t>, IAB 3/27/19, effective 5/1/19]</w:t>
      </w:r>
    </w:p>
    <w:p>
      <w:pPr>
        <w:spacing w:before="0" w:after="0"/>
        <w:ind w:left="120"/>
        <w:jc w:val="center"/>
      </w:pPr>
      <w:r>
        <w:rPr>
          <w:rFonts w:ascii="Times New Roman" w:hAnsi="Times New Roman"/>
          <w:b w:val="false"/>
          <w:i w:val="false"/>
          <w:color w:val="000000"/>
          <w:sz w:val="21"/>
        </w:rPr>
        <w:t>[Filed ARC 4658C</w:t>
      </w:r>
      <w:r>
        <w:rPr>
          <w:rFonts w:ascii="Times New Roman" w:hAnsi="Times New Roman"/>
          <w:b w:val="false"/>
          <w:i w:val="false"/>
          <w:color w:val="000000"/>
          <w:sz w:val="21"/>
        </w:rPr>
        <w:t xml:space="preserve"> (Notice ARC 4445C, IAB 5/22/19)</w:t>
      </w:r>
      <w:r>
        <w:rPr>
          <w:rFonts w:ascii="Times New Roman" w:hAnsi="Times New Roman"/>
          <w:b w:val="false"/>
          <w:i w:val="false"/>
          <w:color w:val="000000"/>
          <w:sz w:val="21"/>
        </w:rPr>
        <w:t>, IAB 9/11/19, effective 10/16/19]</w:t>
      </w:r>
    </w:p>
    <w:p>
      <w:pPr>
        <w:spacing w:before="0" w:after="0"/>
        <w:ind w:left="120"/>
        <w:jc w:val="center"/>
      </w:pPr>
      <w:r>
        <w:rPr>
          <w:rFonts w:ascii="Times New Roman" w:hAnsi="Times New Roman"/>
          <w:b w:val="false"/>
          <w:i w:val="false"/>
          <w:color w:val="000000"/>
          <w:sz w:val="21"/>
        </w:rPr>
        <w:t>[Filed ARC 4714C</w:t>
      </w:r>
      <w:r>
        <w:rPr>
          <w:rFonts w:ascii="Times New Roman" w:hAnsi="Times New Roman"/>
          <w:b w:val="false"/>
          <w:i w:val="false"/>
          <w:color w:val="000000"/>
          <w:sz w:val="21"/>
        </w:rPr>
        <w:t xml:space="preserve"> (Notice ARC 4382C, IAB 4/10/19)</w:t>
      </w:r>
      <w:r>
        <w:rPr>
          <w:rFonts w:ascii="Times New Roman" w:hAnsi="Times New Roman"/>
          <w:b w:val="false"/>
          <w:i w:val="false"/>
          <w:color w:val="000000"/>
          <w:sz w:val="21"/>
        </w:rPr>
        <w:t>, IAB 10/23/19, effective 11/27/19]</w:t>
      </w:r>
    </w:p>
    <w:p>
      <w:pPr>
        <w:spacing w:before="0" w:after="0"/>
        <w:ind w:left="120"/>
        <w:jc w:val="center"/>
      </w:pPr>
      <w:r>
        <w:rPr>
          <w:rFonts w:ascii="Times New Roman" w:hAnsi="Times New Roman"/>
          <w:b w:val="false"/>
          <w:i w:val="false"/>
          <w:color w:val="000000"/>
          <w:sz w:val="21"/>
        </w:rPr>
        <w:t>[Filed ARC 5600C</w:t>
      </w:r>
      <w:r>
        <w:rPr>
          <w:rFonts w:ascii="Times New Roman" w:hAnsi="Times New Roman"/>
          <w:b w:val="false"/>
          <w:i w:val="false"/>
          <w:color w:val="000000"/>
          <w:sz w:val="21"/>
        </w:rPr>
        <w:t xml:space="preserve"> (Notice ARC 5370C, IAB 12/30/20)</w:t>
      </w:r>
      <w:r>
        <w:rPr>
          <w:rFonts w:ascii="Times New Roman" w:hAnsi="Times New Roman"/>
          <w:b w:val="false"/>
          <w:i w:val="false"/>
          <w:color w:val="000000"/>
          <w:sz w:val="21"/>
        </w:rPr>
        <w:t>, IAB 5/5/21, effective 6/9/21]</w:t>
      </w:r>
    </w:p>
    <w:p>
      <w:pPr>
        <w:spacing w:before="0" w:after="0"/>
        <w:ind w:left="120"/>
        <w:jc w:val="center"/>
      </w:pPr>
      <w:r>
        <w:rPr>
          <w:rFonts w:ascii="Times New Roman" w:hAnsi="Times New Roman"/>
          <w:b w:val="false"/>
          <w:i w:val="false"/>
          <w:color w:val="000000"/>
          <w:sz w:val="21"/>
        </w:rPr>
        <w:t>[Filed ARC 5861C</w:t>
      </w:r>
      <w:r>
        <w:rPr>
          <w:rFonts w:ascii="Times New Roman" w:hAnsi="Times New Roman"/>
          <w:b w:val="false"/>
          <w:i w:val="false"/>
          <w:color w:val="000000"/>
          <w:sz w:val="21"/>
        </w:rPr>
        <w:t xml:space="preserve"> (Notice ARC 5668C, IAB 6/2/21)</w:t>
      </w:r>
      <w:r>
        <w:rPr>
          <w:rFonts w:ascii="Times New Roman" w:hAnsi="Times New Roman"/>
          <w:b w:val="false"/>
          <w:i w:val="false"/>
          <w:color w:val="000000"/>
          <w:sz w:val="21"/>
        </w:rPr>
        <w:t>, IAB 8/25/21, effective 9/29/21]</w:t>
      </w:r>
    </w:p>
    <w:p>
      <w:pPr>
        <w:spacing w:before="0" w:after="0"/>
        <w:ind w:left="120"/>
        <w:jc w:val="center"/>
      </w:pPr>
      <w:r>
        <w:rPr>
          <w:rFonts w:ascii="Times New Roman" w:hAnsi="Times New Roman"/>
          <w:b w:val="false"/>
          <w:i w:val="false"/>
          <w:color w:val="000000"/>
          <w:sz w:val="21"/>
        </w:rPr>
        <w:t>[Filed ARC 6442C</w:t>
      </w:r>
      <w:r>
        <w:rPr>
          <w:rFonts w:ascii="Times New Roman" w:hAnsi="Times New Roman"/>
          <w:b w:val="false"/>
          <w:i w:val="false"/>
          <w:color w:val="000000"/>
          <w:sz w:val="21"/>
        </w:rPr>
        <w:t xml:space="preserve"> (Notice ARC 6284C, IAB 4/6/22)</w:t>
      </w:r>
      <w:r>
        <w:rPr>
          <w:rFonts w:ascii="Times New Roman" w:hAnsi="Times New Roman"/>
          <w:b w:val="false"/>
          <w:i w:val="false"/>
          <w:color w:val="000000"/>
          <w:sz w:val="21"/>
        </w:rPr>
        <w:t>, IAB 8/10/22, effective 9/14/22]</w:t>
      </w:r>
    </w:p>
    <w:p>
      <w:pPr>
        <w:spacing w:before="0" w:after="0"/>
        <w:ind w:left="120"/>
        <w:jc w:val="center"/>
      </w:pPr>
      <w:r>
        <w:rPr>
          <w:rFonts w:ascii="Times New Roman" w:hAnsi="Times New Roman"/>
          <w:b w:val="false"/>
          <w:i w:val="false"/>
          <w:color w:val="000000"/>
          <w:sz w:val="21"/>
        </w:rPr>
        <w:t>[Filed ARC 6683C</w:t>
      </w:r>
      <w:r>
        <w:rPr>
          <w:rFonts w:ascii="Times New Roman" w:hAnsi="Times New Roman"/>
          <w:b w:val="false"/>
          <w:i w:val="false"/>
          <w:color w:val="000000"/>
          <w:sz w:val="21"/>
        </w:rPr>
        <w:t xml:space="preserve"> (Notice ARC 6381C, IAB 6/29/22)</w:t>
      </w:r>
      <w:r>
        <w:rPr>
          <w:rFonts w:ascii="Times New Roman" w:hAnsi="Times New Roman"/>
          <w:b w:val="false"/>
          <w:i w:val="false"/>
          <w:color w:val="000000"/>
          <w:sz w:val="21"/>
        </w:rPr>
        <w:t>, IAB 11/30/22, effective 1/4/23]</w:t>
      </w:r>
      <w:r>
        <w:br/>
      </w:r>
      <w:r>
        <w:rPr>
          <w:rFonts w:ascii="Times New Roman" w:hAnsi="Times New Roman"/>
          <w:b w:val="false"/>
          <w:i w:val="false"/>
          <w:color w:val="000000"/>
          <w:sz w:val="21"/>
        </w:rPr>
        <w:t>[Filed ARC 6684C</w:t>
      </w:r>
      <w:r>
        <w:rPr>
          <w:rFonts w:ascii="Times New Roman" w:hAnsi="Times New Roman"/>
          <w:b w:val="false"/>
          <w:i w:val="false"/>
          <w:color w:val="000000"/>
          <w:sz w:val="21"/>
        </w:rPr>
        <w:t xml:space="preserve"> (Notice ARC 6461C, IAB 8/10/22)</w:t>
      </w:r>
      <w:r>
        <w:rPr>
          <w:rFonts w:ascii="Times New Roman" w:hAnsi="Times New Roman"/>
          <w:b w:val="false"/>
          <w:i w:val="false"/>
          <w:color w:val="000000"/>
          <w:sz w:val="21"/>
        </w:rPr>
        <w:t>, IAB 11/30/22, effective 1/4/23]</w:t>
      </w:r>
    </w:p>
    <w:p>
      <w:pPr>
        <w:spacing w:before="0" w:after="0"/>
        <w:ind w:left="120"/>
        <w:jc w:val="center"/>
      </w:pPr>
      <w:r>
        <w:rPr>
          <w:rFonts w:ascii="Times New Roman" w:hAnsi="Times New Roman"/>
          <w:b w:val="false"/>
          <w:i w:val="false"/>
          <w:color w:val="000000"/>
          <w:sz w:val="21"/>
        </w:rPr>
        <w:t>[Filed ARC 6941C</w:t>
      </w:r>
      <w:r>
        <w:rPr>
          <w:rFonts w:ascii="Times New Roman" w:hAnsi="Times New Roman"/>
          <w:b w:val="false"/>
          <w:i w:val="false"/>
          <w:color w:val="000000"/>
          <w:sz w:val="21"/>
        </w:rPr>
        <w:t xml:space="preserve"> (Notice ARC 6694C, IAB 11/30/22)</w:t>
      </w:r>
      <w:r>
        <w:rPr>
          <w:rFonts w:ascii="Times New Roman" w:hAnsi="Times New Roman"/>
          <w:b w:val="false"/>
          <w:i w:val="false"/>
          <w:color w:val="000000"/>
          <w:sz w:val="21"/>
        </w:rPr>
        <w:t>, IAB 3/8/23, effective 4/12/23]</w:t>
      </w:r>
    </w:p>
    <w:p>
      <w:pPr>
        <w:spacing w:before="0" w:after="0"/>
        <w:ind w:left="120"/>
        <w:jc w:val="center"/>
      </w:pPr>
      <w:r>
        <w:rPr>
          <w:rFonts w:ascii="Times New Roman" w:hAnsi="Times New Roman"/>
          <w:b w:val="false"/>
          <w:i w:val="false"/>
          <w:color w:val="000000"/>
          <w:sz w:val="21"/>
        </w:rPr>
        <w:t>[Filed ARC 7720C</w:t>
      </w:r>
      <w:r>
        <w:rPr>
          <w:rFonts w:ascii="Times New Roman" w:hAnsi="Times New Roman"/>
          <w:b w:val="false"/>
          <w:i w:val="false"/>
          <w:color w:val="000000"/>
          <w:sz w:val="21"/>
        </w:rPr>
        <w:t xml:space="preserve"> (Notice ARC 7170C, IAB 12/13/23)</w:t>
      </w:r>
      <w:r>
        <w:rPr>
          <w:rFonts w:ascii="Times New Roman" w:hAnsi="Times New Roman"/>
          <w:b w:val="false"/>
          <w:i w:val="false"/>
          <w:color w:val="000000"/>
          <w:sz w:val="21"/>
        </w:rPr>
        <w:t>, IAB 3/20/24, effective 4/24/24]</w:t>
      </w:r>
    </w:p>
    <w:p>
      <w:pPr>
        <w:spacing w:before="0" w:after="0"/>
        <w:ind w:left="120"/>
        <w:jc w:val="center"/>
      </w:pPr>
      <w:r>
        <w:rPr>
          <w:rFonts w:ascii="Times New Roman" w:hAnsi="Times New Roman"/>
          <w:b w:val="false"/>
          <w:i w:val="false"/>
          <w:color w:val="000000"/>
          <w:sz w:val="21"/>
        </w:rPr>
        <w:t>[Filed ARC 9115C</w:t>
      </w:r>
      <w:r>
        <w:rPr>
          <w:rFonts w:ascii="Times New Roman" w:hAnsi="Times New Roman"/>
          <w:b w:val="false"/>
          <w:i w:val="false"/>
          <w:color w:val="000000"/>
          <w:sz w:val="21"/>
        </w:rPr>
        <w:t xml:space="preserve"> (Notice ARC 8701C, IAB 12/25/24)</w:t>
      </w:r>
      <w:r>
        <w:rPr>
          <w:rFonts w:ascii="Times New Roman" w:hAnsi="Times New Roman"/>
          <w:b w:val="false"/>
          <w:i w:val="false"/>
          <w:color w:val="000000"/>
          <w:sz w:val="21"/>
        </w:rPr>
        <w:t>, IAB 4/16/25, effective 5/21/25]</w:t>
      </w:r>
    </w:p>
    <w:p>
      <w:pPr>
        <w:spacing w:before="0" w:after="0"/>
        <w:ind w:left="120"/>
        <w:jc w:val="center"/>
      </w:pPr>
      <w:r>
        <w:rPr>
          <w:rFonts w:ascii="Times New Roman" w:hAnsi="Times New Roman"/>
          <w:b w:val="false"/>
          <w:i w:val="false"/>
          <w:color w:val="000000"/>
          <w:sz w:val="21"/>
        </w:rPr>
        <w:t>[Editorial change: IAC Supplement 6/11/25]</w:t>
      </w:r>
    </w:p>
    <w:p>
      <w:pPr>
        <w:pBdr>
          <w:bottom w:space="2"/>
        </w:pBdr>
        <w:spacing w:before="0" w:after="0"/>
        <w:ind w:left="120"/>
        <w:jc w:val="both"/>
      </w:pPr>
      <w:r>
        <w:rPr>
          <w:rFonts w:ascii="Times New Roman" w:hAnsi="Times New Roman"/>
          <w:b w:val="false"/>
          <w:i w:val="false"/>
          <w:color w:val="000000"/>
          <w:sz w:val="22"/>
        </w:rPr>
        <w:t>Effective date of 13.2(148,272C) delayed 70 days by the Administrative Rules Review Committee at its meeting held May 14, 1996.</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653.655.1.pdf" Type="http://schemas.openxmlformats.org/officeDocument/2006/relationships/hyperlink" Id="rId5"/>
    <Relationship TargetMode="External" Target="https://www.legis.iowa.gov/docs/iac/rule/653.655.1.pdf" Type="http://schemas.openxmlformats.org/officeDocument/2006/relationships/hyperlink" Id="rId6"/>
    <Relationship TargetMode="External" Target="https://www.legis.iowa.gov/docs/ico/chapter/124.551.pdf" Type="http://schemas.openxmlformats.org/officeDocument/2006/relationships/hyperlink" Id="rId7"/>
    <Relationship TargetMode="External" Target="https://www.legis.iowa.gov/docs/ico/chapter/124.558.pdf" Type="http://schemas.openxmlformats.org/officeDocument/2006/relationships/hyperlink" Id="rId8"/>
    <Relationship TargetMode="External" Target="https://www.legis.iowa.gov/docs/ico/chapter/124.308.pdf" Type="http://schemas.openxmlformats.org/officeDocument/2006/relationships/hyperlink" Id="rId9"/>
    <Relationship TargetMode="External" Target="https://www.legis.iowa.gov/docs/iac/rule/653.655.2.pdf" Type="http://schemas.openxmlformats.org/officeDocument/2006/relationships/hyperlink" Id="rId10"/>
    <Relationship TargetMode="External" Target="https://www.legis.iowa.gov/docs/iac/chapter/481.661.pdf" Type="http://schemas.openxmlformats.org/officeDocument/2006/relationships/hyperlink" Id="rId11"/>
    <Relationship TargetMode="External" Target="https://www.legis.iowa.gov/docs/ico/chapter/124.553.pdf" Type="http://schemas.openxmlformats.org/officeDocument/2006/relationships/hyperlink" Id="rId12"/>
    <Relationship TargetMode="External" Target="https://www.legis.iowa.gov/docs/ico/chapter/124.553.pdf" Type="http://schemas.openxmlformats.org/officeDocument/2006/relationships/hyperlink" Id="rId13"/>
    <Relationship TargetMode="External" Target="https://www.legis.iowa.gov/docs/ico/chapter/124.pdf" Type="http://schemas.openxmlformats.org/officeDocument/2006/relationships/hyperlink" Id="rId14"/>
    <Relationship TargetMode="External" Target="https://www.legis.iowa.gov/docs/ico/chapter/124.553.pdf" Type="http://schemas.openxmlformats.org/officeDocument/2006/relationships/hyperlink" Id="rId15"/>
    <Relationship TargetMode="External" Target="https://www.legis.iowa.gov/docs/ico/chapter/124.553.pdf" Type="http://schemas.openxmlformats.org/officeDocument/2006/relationships/hyperlink" Id="rId16"/>
    <Relationship TargetMode="External" Target="https://www.legis.iowa.gov/docs/ico/chapter/614.8.pdf" Type="http://schemas.openxmlformats.org/officeDocument/2006/relationships/hyperlink" Id="rId17"/>
    <Relationship TargetMode="External" Target="https://www.legis.iowa.gov/docs/iac/chapter/481.780.pdf" Type="http://schemas.openxmlformats.org/officeDocument/2006/relationships/hyperlink" Id="rId18"/>
    <Relationship TargetMode="External" Target="https://www.legis.iowa.gov/docs/iac/chapter/481.781.pdf" Type="http://schemas.openxmlformats.org/officeDocument/2006/relationships/hyperlink" Id="rId19"/>
    <Relationship TargetMode="External" Target="https://www.legis.iowa.gov/docs/iac/chapter/655.7.pdf" Type="http://schemas.openxmlformats.org/officeDocument/2006/relationships/hyperlink" Id="rId20"/>
    <Relationship TargetMode="External" Target="https://www.legis.iowa.gov/docs/iac/rule/481.655.9.pdf" Type="http://schemas.openxmlformats.org/officeDocument/2006/relationships/hyperlink" Id="rId21"/>
    <Relationship TargetMode="External" Target="https://www.legis.iowa.gov/docs/ico/chapter/135L.pdf" Type="http://schemas.openxmlformats.org/officeDocument/2006/relationships/hyperlink" Id="rId22"/>
    <Relationship TargetMode="External" Target="https://www.legis.iowa.gov/docs/iac/rule/641.89.12.pdf" Type="http://schemas.openxmlformats.org/officeDocument/2006/relationships/hyperlink" Id="rId23"/>
    <Relationship TargetMode="External" Target="https://www.legis.iowa.gov/docs/iac/rule/641.89.21.pdf" Type="http://schemas.openxmlformats.org/officeDocument/2006/relationships/hyperlink" Id="rId24"/>
    <Relationship TargetMode="External" Target="https://www.legis.iowa.gov/docs/iac/rule/481.652.2.pdf" Type="http://schemas.openxmlformats.org/officeDocument/2006/relationships/hyperlink" Id="rId25"/>
    <Relationship TargetMode="External" Target="https://www.legis.iowa.gov/docs/iac/rule/653.655.9.pdf" Type="http://schemas.openxmlformats.org/officeDocument/2006/relationships/hyperlink" Id="rId26"/>
    <Relationship TargetMode="External" Target="https://www.legis.iowa.gov/docs/ico/chapter/135.185.pdf" Type="http://schemas.openxmlformats.org/officeDocument/2006/relationships/hyperlink" Id="rId27"/>
    <Relationship TargetMode="External" Target="https://www.legis.iowa.gov/docs/ico/chapter/135.185.pdf" Type="http://schemas.openxmlformats.org/officeDocument/2006/relationships/hyperlink" Id="rId28"/>
    <Relationship TargetMode="External" Target="https://www.legis.iowa.gov/docs/ico/chapter/135.190.pdf" Type="http://schemas.openxmlformats.org/officeDocument/2006/relationships/hyperlink" Id="rId29"/>
    <Relationship TargetMode="External" Target="https://www.legis.iowa.gov/docs/ico/chapter/280.16.pdf" Type="http://schemas.openxmlformats.org/officeDocument/2006/relationships/hyperlink" Id="rId30"/>
    <Relationship TargetMode="External" Target="https://www.legis.iowa.gov/docs/ico/chapter/280.16A.pdf" Type="http://schemas.openxmlformats.org/officeDocument/2006/relationships/hyperlink" Id="rId31"/>
    <Relationship TargetMode="External" Target="https://www.legis.iowa.gov/docs/ico/chapter/135.185.pdf" Type="http://schemas.openxmlformats.org/officeDocument/2006/relationships/hyperlink" Id="rId32"/>
    <Relationship TargetMode="External" Target="https://www.legis.iowa.gov/docs/ico/chapter/135.190.pdf" Type="http://schemas.openxmlformats.org/officeDocument/2006/relationships/hyperlink" Id="rId33"/>
    <Relationship TargetMode="External" Target="https://www.legis.iowa.gov/docs/ico/chapter/280.16.pdf" Type="http://schemas.openxmlformats.org/officeDocument/2006/relationships/hyperlink" Id="rId34"/>
    <Relationship TargetMode="External" Target="https://www.legis.iowa.gov/docs/ico/chapter/280.16A.pdf" Type="http://schemas.openxmlformats.org/officeDocument/2006/relationships/hyperlink" Id="rId35"/>
    <Relationship TargetMode="External" Target="https://www.legis.iowa.gov/docs/ico/chapter/707A.2.pdf" Type="http://schemas.openxmlformats.org/officeDocument/2006/relationships/hyperlink" Id="rId36"/>
    <Relationship TargetMode="External" Target="https://www.legis.iowa.gov/docs/iac/chapter/481.661.pdf" Type="http://schemas.openxmlformats.org/officeDocument/2006/relationships/hyperlink" Id="rId37"/>
    <Relationship TargetMode="External" Target="https://www.legis.iowa.gov/docs/ico/chapter/707A.2.pdf" Type="http://schemas.openxmlformats.org/officeDocument/2006/relationships/hyperlink" Id="rId38"/>
    <Relationship TargetMode="External" Target="https://www.legis.iowa.gov/docs/ico/chapter/148.pdf" Type="http://schemas.openxmlformats.org/officeDocument/2006/relationships/hyperlink" Id="rId39"/>
    <Relationship TargetMode="External" Target="https://www.legis.iowa.gov/docs/iac/chapter/481.661.pdf" Type="http://schemas.openxmlformats.org/officeDocument/2006/relationships/hyperlink" Id="rId40"/>
    <Relationship TargetMode="External" Target="https://www.legis.iowa.gov/docs/ico/chapter/331.910.pdf" Type="http://schemas.openxmlformats.org/officeDocument/2006/relationships/hyperlink" Id="rId41"/>
    <Relationship TargetMode="External" Target="https://www.legis.iowa.gov/docs/ico/chapter/141A.1.pdf" Type="http://schemas.openxmlformats.org/officeDocument/2006/relationships/hyperlink" Id="rId42"/>
    <Relationship TargetMode="External" Target="https://www.legis.iowa.gov/docs/ico/chapter/124E.5.pdf" Type="http://schemas.openxmlformats.org/officeDocument/2006/relationships/hyperlink" Id="rId43"/>
    <Relationship TargetMode="External" Target="https://www.legis.iowa.gov/docs/ico/chapter/148.pdf" Type="http://schemas.openxmlformats.org/officeDocument/2006/relationships/hyperlink" Id="rId44"/>
    <Relationship TargetMode="External" Target="https://www.legis.iowa.gov/docs/ico/chapter/124E.pdf" Type="http://schemas.openxmlformats.org/officeDocument/2006/relationships/hyperlink" Id="rId45"/>
    <Relationship TargetMode="External" Target="https://www.legis.iowa.gov/docs/ico/chapter/124E.5.pdf" Type="http://schemas.openxmlformats.org/officeDocument/2006/relationships/hyperlink" Id="rId46"/>
    <Relationship TargetMode="External" Target="https://www.legis.iowa.gov/docs/ico/chapter/124E.pdf" Type="http://schemas.openxmlformats.org/officeDocument/2006/relationships/hyperlink" Id="rId47"/>
    <Relationship TargetMode="External" Target="https://www.legis.iowa.gov/docs/ico/chapter/124E.pdf" Type="http://schemas.openxmlformats.org/officeDocument/2006/relationships/hyperlink" Id="rId48"/>
    <Relationship TargetMode="External" Target="https://www.legis.iowa.gov/docs/iac/chapter/481.661.pdf" Type="http://schemas.openxmlformats.org/officeDocument/2006/relationships/hyperlink" Id="rId49"/>
    <Relationship TargetMode="External" Target="https://www.legis.iowa.gov/docs/ico/chapter/124E.pdf" Type="http://schemas.openxmlformats.org/officeDocument/2006/relationships/hyperlink" Id="rId50"/>
    <Relationship TargetMode="External" Target="https://www.legis.iowa.gov/docs/ico/chapter/146A.1.pdf" Type="http://schemas.openxmlformats.org/officeDocument/2006/relationships/hyperlink" Id="rId51"/>
    <Relationship TargetMode="External" Target="https://www.legis.iowa.gov/docs/ico/chapter/146A.1.pdf" Type="http://schemas.openxmlformats.org/officeDocument/2006/relationships/hyperlink" Id="rId52"/>
    <Relationship TargetMode="External" Target="https://www.legis.iowa.gov/docs/ico/chapter/146A.1.pdf" Type="http://schemas.openxmlformats.org/officeDocument/2006/relationships/hyperlink" Id="rId53"/>
    <Relationship TargetMode="External" Target="https://www.legis.iowa.gov/docs/ico/chapter/146A.1.pdf" Type="http://schemas.openxmlformats.org/officeDocument/2006/relationships/hyperlink" Id="rId54"/>
    <Relationship TargetMode="External" Target="https://www.legis.iowa.gov/docs/ico/chapter/146E.2.pdf" Type="http://schemas.openxmlformats.org/officeDocument/2006/relationships/hyperlink" Id="rId55"/>
    <Relationship TargetMode="External" Target="https://www.legis.iowa.gov/docs/ico/chapter/146E.pdf" Type="http://schemas.openxmlformats.org/officeDocument/2006/relationships/hyperlink" Id="rId56"/>
    <Relationship TargetMode="External" Target="https://www.legis.iowa.gov/docs/ico/chapter/135B.1.pdf" Type="http://schemas.openxmlformats.org/officeDocument/2006/relationships/hyperlink" Id="rId57"/>
    <Relationship TargetMode="External" Target="https://www.legis.iowa.gov/docs/ico/chapter/135C.1.pdf" Type="http://schemas.openxmlformats.org/officeDocument/2006/relationships/hyperlink" Id="rId58"/>
    <Relationship TargetMode="External" Target="https://www.legis.iowa.gov/docs/ico/chapter/135P.1.pdf" Type="http://schemas.openxmlformats.org/officeDocument/2006/relationships/hyperlink" Id="rId59"/>
    <Relationship TargetMode="External" Target="https://www.legis.iowa.gov/docs/ico/chapter/135B.1.pdf" Type="http://schemas.openxmlformats.org/officeDocument/2006/relationships/hyperlink" Id="rId60"/>
    <Relationship TargetMode="External" Target="https://www.legis.iowa.gov/docs/ico/chapter/135C.1.pdf" Type="http://schemas.openxmlformats.org/officeDocument/2006/relationships/hyperlink" Id="rId61"/>
    <Relationship TargetMode="External" Target="https://www.legis.iowa.gov/docs/ico/chapter/135P.1.pdf" Type="http://schemas.openxmlformats.org/officeDocument/2006/relationships/hyperlink" Id="rId62"/>
    <Relationship TargetMode="External" Target="https://www.legis.iowa.gov/docs/ico/chapter/146E.pdf" Type="http://schemas.openxmlformats.org/officeDocument/2006/relationships/hyperlink" Id="rId63"/>
    <Relationship TargetMode="External" Target="https://www.legis.iowa.gov/docs/ico/chapter/709.2.pdf" Type="http://schemas.openxmlformats.org/officeDocument/2006/relationships/hyperlink" Id="rId64"/>
    <Relationship TargetMode="External" Target="https://www.legis.iowa.gov/docs/ico/chapter/709.3.pdf" Type="http://schemas.openxmlformats.org/officeDocument/2006/relationships/hyperlink" Id="rId65"/>
    <Relationship TargetMode="External" Target="https://www.legis.iowa.gov/docs/ico/chapter/709.4.pdf" Type="http://schemas.openxmlformats.org/officeDocument/2006/relationships/hyperlink" Id="rId66"/>
    <Relationship TargetMode="External" Target="https://www.legis.iowa.gov/docs/ico/chapter/709.4A.pdf" Type="http://schemas.openxmlformats.org/officeDocument/2006/relationships/hyperlink" Id="rId67"/>
    <Relationship TargetMode="External" Target="https://www.legis.iowa.gov/docs/ico/chapter/146E.pdf" Type="http://schemas.openxmlformats.org/officeDocument/2006/relationships/hyperlink" Id="rId68"/>
    <Relationship TargetMode="External" Target="https://www.legis.iowa.gov/docs/ico/chapter/146E.pdf" Type="http://schemas.openxmlformats.org/officeDocument/2006/relationships/hyperlink" Id="rId69"/>
    <Relationship TargetMode="External" Target="https://www.legis.iowa.gov/docs/ico/chapter/124.pdf" Type="http://schemas.openxmlformats.org/officeDocument/2006/relationships/hyperlink" Id="rId70"/>
    <Relationship TargetMode="External" Target="https://www.legis.iowa.gov/docs/ico/chapter/124E.pdf" Type="http://schemas.openxmlformats.org/officeDocument/2006/relationships/hyperlink" Id="rId71"/>
    <Relationship TargetMode="External" Target="https://www.legis.iowa.gov/docs/ico/chapter/144E.pdf" Type="http://schemas.openxmlformats.org/officeDocument/2006/relationships/hyperlink" Id="rId72"/>
    <Relationship TargetMode="External" Target="https://www.legis.iowa.gov/docs/ico/chapter/146E.pdf" Type="http://schemas.openxmlformats.org/officeDocument/2006/relationships/hyperlink" Id="rId73"/>
    <Relationship TargetMode="External" Target="https://www.legis.iowa.gov/docs/ico/chapter/148.pdf" Type="http://schemas.openxmlformats.org/officeDocument/2006/relationships/hyperlink" Id="rId74"/>
    <Relationship TargetMode="External" Target="https://www.legis.iowa.gov/docs/ico/chapter/272C.pdf" Type="http://schemas.openxmlformats.org/officeDocument/2006/relationships/hyperlink" Id="rId75"/>
    <Relationship TargetMode="External" Target="https://www.legis.iowa.gov/docs/ico/chapter/147.55.pdf" Type="http://schemas.openxmlformats.org/officeDocument/2006/relationships/hyperlink" Id="rId76"/>
    <Relationship TargetMode="External" Target="https://www.legis.iowa.gov/docs/ico/chapter/148.6.pdf" Type="http://schemas.openxmlformats.org/officeDocument/2006/relationships/hyperlink" Id="rId77"/>
    <Relationship TargetMode="External" Target="https://www.legis.iowa.gov/docs/ico/chapter/147.107.pdf" Type="http://schemas.openxmlformats.org/officeDocument/2006/relationships/hyperlink" Id="rId78"/>
    <Relationship TargetMode="External" Target="https://www.legis.iowa.gov/docs/ico/chapter/272C.3.pdf" Type="http://schemas.openxmlformats.org/officeDocument/2006/relationships/hyperlink" Id="rId79"/>
    <Relationship TargetMode="External" Target="https://www.legis.iowa.gov/docs/ico/chapter/272C.4.pdf" Type="http://schemas.openxmlformats.org/officeDocument/2006/relationships/hyperlink" Id="rId8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