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UNIFORM WAIVER STANDARDS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7/30/30</w:t>
      </w:r>
    </w:p>
    <w:p>
      <w:pPr>
        <w:spacing w:before="0" w:after="0"/>
        <w:ind w:left="120"/>
        <w:jc w:val="both"/>
      </w:pPr>
      <w:r>
        <w:rPr>
          <w:rFonts w:ascii="Times New Roman" w:hAnsi="Times New Roman"/>
          <w:b/>
          <w:i w:val="false"/>
          <w:color w:val="000000"/>
          <w:sz w:val="22"/>
        </w:rPr>
        <w:t>481—6.1</w:t>
      </w:r>
      <w:r>
        <w:rPr>
          <w:rFonts w:ascii="Times New Roman" w:hAnsi="Times New Roman"/>
          <w:b/>
          <w:i w:val="false"/>
          <w:color w:val="000000"/>
          <w:sz w:val="22"/>
        </w:rPr>
        <w:t xml:space="preserve">(10A,17A)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w:t>
      </w:r>
      <w:r>
        <w:rPr>
          <w:rFonts w:ascii="Times New Roman" w:hAnsi="Times New Roman"/>
          <w:b w:val="false"/>
          <w:i w:val="false"/>
          <w:color w:val="000000"/>
          <w:sz w:val="22"/>
        </w:rPr>
        <w:t> </w:t>
      </w:r>
      <w:r>
        <w:rPr>
          <w:rFonts w:ascii="Times New Roman" w:hAnsi="Times New Roman"/>
          <w:b w:val="false"/>
          <w:i/>
          <w:color w:val="000000"/>
          <w:sz w:val="22"/>
        </w:rPr>
        <w:t xml:space="preserve">Scope and applicability.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this chapter outlines generally applicable standards and procedures for the waiver of rules adopted by the department. The intent of this chapter is to allow persons to seek exceptions to the application of rules issued by the department. The department may only grant a waiver from a rule if the department has jurisdiction over the rule and the waiver is consistent with applicable statutes, constitutional provisions, or other law. The department cannot waive requirements created or duties imposed by statute. To the extent another more specific provision of law governs the issuance of a waiver from a particular rule, the more specific provision is applicable. To the extent a division, board, or commission under the administrative authority of the department pursuant to Iowa Code chapter </w:t>
      </w:r>
      <w:hyperlink r:id="rId6">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has independent rulemaking authority but has not adopted rules governing waivers, the standards and procedures of this chapter are applicable to the division, board, or commission with rulemaking and waiver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inspections, appeals, and licensing authorized by Iowa Code chapter </w:t>
      </w:r>
      <w:hyperlink r:id="rId7">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or, for purposes of this chapter, a division, board, or commission under the administrative authority of the department pursuant to Iowa Code chapter </w:t>
      </w:r>
      <w:hyperlink r:id="rId8">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that has rulemaking and waiver authority to whom this chapter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director of the department, the director’s designee, or a division, board, or commission under the administrative authority of the department pursuant to Iowa Code chapter </w:t>
      </w:r>
      <w:hyperlink r:id="rId9">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that has rulemaking and waiver authority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government or governmental subdivision or association,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 xml:space="preserve">At the sole discretion of the department, an order waiving the requirements of a rule, in whole or in part, may be issued in response to a petition completed pursuant to subrules </w:t>
      </w:r>
      <w:hyperlink r:id="rId10">
        <w:r>
          <w:rPr>
            <w:rStyle w:val="Hyperlink"/>
            <w:rFonts w:ascii="Times New Roman" w:hAnsi="Times New Roman"/>
            <w:b w:val="false"/>
            <w:i w:val="false"/>
            <w:color w:val="000000"/>
            <w:sz w:val="22"/>
          </w:rPr>
          <w:t>6.1(4)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6.1(5)</w:t>
        </w:r>
      </w:hyperlink>
      <w:r>
        <w:rPr>
          <w:rFonts w:ascii="Times New Roman" w:hAnsi="Times New Roman"/>
          <w:b w:val="false"/>
          <w:i w:val="false"/>
          <w:color w:val="000000"/>
          <w:sz w:val="22"/>
        </w:rPr>
        <w:t xml:space="preserve"> if the department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the rule to the petitioner would pose an undue hardship on the person or class of persons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Waiver from the requirements of a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of a rule subject to a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w:t>
      </w:r>
      <w:r>
        <w:rPr>
          <w:rFonts w:ascii="Times New Roman" w:hAnsi="Times New Roman"/>
          <w:b w:val="false"/>
          <w:i w:val="false"/>
          <w:color w:val="000000"/>
          <w:sz w:val="22"/>
        </w:rPr>
        <w:t> </w:t>
      </w:r>
      <w:r>
        <w:rPr>
          <w:rFonts w:ascii="Times New Roman" w:hAnsi="Times New Roman"/>
          <w:b w:val="false"/>
          <w:i/>
          <w:color w:val="000000"/>
          <w:sz w:val="22"/>
        </w:rPr>
        <w:t xml:space="preserve">Filing of petition. </w:t>
      </w:r>
      <w:r>
        <w:rPr>
          <w:rFonts w:ascii="Times New Roman" w:hAnsi="Times New Roman"/>
          <w:b w:val="false"/>
          <w:i w:val="false"/>
          <w:color w:val="000000"/>
          <w:sz w:val="22"/>
        </w:rPr>
        <w:t xml:space="preserve">A petition for a waiver must be submitted in writing to the department. The submission may be sent to the department’s physical address at 6200 Park Avenue, Suite 100, Des Moines, Iowa 50321; submitted through an applicable online portal at </w:t>
      </w:r>
      <w:hyperlink r:id="rId12">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or emailed to pertinent program personnel. If the petition relates to a pending contested case, the petition shall also be filed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should include the following information as applicable to the request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entity or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criteria described in subrule </w:t>
      </w:r>
      <w:hyperlink r:id="rId13">
        <w:r>
          <w:rPr>
            <w:rStyle w:val="Hyperlink"/>
            <w:rFonts w:ascii="Times New Roman" w:hAnsi="Times New Roman"/>
            <w:b w:val="false"/>
            <w:i w:val="false"/>
            <w:color w:val="000000"/>
            <w:sz w:val="22"/>
          </w:rPr>
          <w:t>6.1(3)</w:t>
        </w:r>
      </w:hyperlink>
      <w:r>
        <w:rPr>
          <w:rFonts w:ascii="Times New Roman" w:hAnsi="Times New Roman"/>
          <w:b w:val="false"/>
          <w:i w:val="false"/>
          <w:color w:val="000000"/>
          <w:sz w:val="22"/>
        </w:rPr>
        <w:t>. The petitioner shall include a signed statement attesting to the accuracy of the facts and justification provided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department and the petitioner relating to the regulated activity, license, appeal, hearing, audit, investigation, inspection, representation or other assigned function of the department that would be affected by the proposed waiver, including a description of any related notices of violation, contested case hearings, or investigative reports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department’s action in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that also regulates the activity in question or that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may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department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department may request additional information from the petitioner relative to the petition and surrounding circumstances. The department may, on its own motion or at the petitioner’s request, schedule a telephonic or in-person meeting between the petitioner and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department will acknowledge a petition upon receipt. Except where otherwise provided by law, a petition shall be served by the petitioner upon any party of record of a contested case proceeding and on all other persons identified in the petition for waiver as affected by the petition, simultaneously with the filing. The petitioner shall serve the notice on all persons to whom notice is required by any provision of law and provide a written statement to the department attesting that notice has been provided. In addition, the department may give notice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discretion. </w:t>
      </w:r>
      <w:r>
        <w:rPr>
          <w:rFonts w:ascii="Times New Roman" w:hAnsi="Times New Roman"/>
          <w:b w:val="false"/>
          <w:i w:val="false"/>
          <w:color w:val="000000"/>
          <w:sz w:val="22"/>
        </w:rPr>
        <w:t>The final decision on whether the circumstances justify the granting of a waiver is at the discretion of the department upon consideration of all relevant factors. Each petition for a waiver will be evaluated by the department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department should exercise its discretion to grant a waiver from a department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waiver rules not precluded. </w:t>
      </w:r>
      <w:r>
        <w:rPr>
          <w:rFonts w:ascii="Times New Roman" w:hAnsi="Times New Roman"/>
          <w:b w:val="false"/>
          <w:i w:val="false"/>
          <w:color w:val="000000"/>
          <w:sz w:val="22"/>
        </w:rPr>
        <w:t>This chapter does not preclude the department from granting waivers in other contexts or on the basis of other standards if a statute authorizes the department to do so and the department deems it appropriate to do so. The department may identify different or additional information for a petitioner to provide for specified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department will balance the special individual circumstances of the petitioner with the overall goal of uniform treatment of all persons similarly situated.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department may condition the granting of the waiver on such conditions as appropriate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Narrow tailoring. </w:t>
      </w:r>
      <w:r>
        <w:rPr>
          <w:rFonts w:ascii="Times New Roman" w:hAnsi="Times New Roman"/>
          <w:b w:val="false"/>
          <w:i w:val="false"/>
          <w:color w:val="000000"/>
          <w:sz w:val="22"/>
        </w:rPr>
        <w:t>A waiver, if granted, will provide the narrowest exception possible to the provisions of the rule and be applied to the circumstances of a specified person or a specific and narrowly drawn class of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 xml:space="preserve">A permanent waiver should not be permitted unless the petitioner can show that a temporary waiver would be impracticable. If a temporary waiver is granted, there is no automatic right to renewal. At the sole discretion of the department, a waiver may be renewed if the department finds that all of the factors set out in subrule </w:t>
      </w:r>
      <w:hyperlink r:id="rId14">
        <w:r>
          <w:rPr>
            <w:rStyle w:val="Hyperlink"/>
            <w:rFonts w:ascii="Times New Roman" w:hAnsi="Times New Roman"/>
            <w:b w:val="false"/>
            <w:i w:val="false"/>
            <w:color w:val="000000"/>
            <w:sz w:val="22"/>
          </w:rPr>
          <w:t>6.1(3)</w:t>
        </w:r>
      </w:hyperlink>
      <w:r>
        <w:rPr>
          <w:rFonts w:ascii="Times New Roman" w:hAnsi="Times New Roman"/>
          <w:b w:val="false"/>
          <w:i w:val="false"/>
          <w:color w:val="000000"/>
          <w:sz w:val="22"/>
        </w:rPr>
        <w:t xml:space="preserve"> remain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department will grant or deny a petition for a waiver as soon as practicable but, in any event, within 120 days of its receipt unless the petitioner agrees to a later date. However, if a petition is filed in a contested case, the department may wait until the contested case is resolved before ruling on the petition for waiver. Failure of the department to grant or deny a petition within the required time period is deemed a denial of that petition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w:t>
      </w:r>
      <w:r>
        <w:rPr>
          <w:rFonts w:ascii="Times New Roman" w:hAnsi="Times New Roman"/>
          <w:b w:val="false"/>
          <w:i w:val="false"/>
          <w:color w:val="000000"/>
          <w:sz w:val="22"/>
        </w:rPr>
        <w:t>A person who objects to a denial of a waiver may make a request for reconsideration or informal appearance before the director, or the director’s designee, to request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w:t>
      </w:r>
      <w:r>
        <w:rPr>
          <w:rFonts w:ascii="Times New Roman" w:hAnsi="Times New Roman"/>
          <w:b w:val="false"/>
          <w:i w:val="false"/>
          <w:color w:val="000000"/>
          <w:sz w:val="22"/>
        </w:rPr>
        <w:t> </w:t>
      </w:r>
      <w:r>
        <w:rPr>
          <w:rFonts w:ascii="Times New Roman" w:hAnsi="Times New Roman"/>
          <w:b w:val="false"/>
          <w:i/>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1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Within 60 days of granting or denying a waiver, the department shall also submit to the internet site maintained by the administrative code editor and administrative rules coordinator the information described in Iowa Code section </w:t>
      </w:r>
      <w:hyperlink r:id="rId16">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Petitions for a waiver and orders granting or denying a waiver petition are generally public records under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although some petitions or orders may contain information the department is authorized or required to keep confidential. The department may redact confidential information from petitions or orders prior to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Voiding or cancellation. </w:t>
      </w:r>
      <w:r>
        <w:rPr>
          <w:rFonts w:ascii="Times New Roman" w:hAnsi="Times New Roman"/>
          <w:b w:val="false"/>
          <w:i w:val="false"/>
          <w:color w:val="000000"/>
          <w:sz w:val="22"/>
        </w:rPr>
        <w:t>A waiver is void if the material facts upon which the request is based are not true or if material facts have been withheld. The department may at any time cancel a waiver upon appropriate notice and opportunity for hearing if the department finds that the facts as stated in the request are not true, material facts have been withheld, the alternative means for ensuring that the public health, safety, and welfare would be adequately protected after issuance of the waiver order have been insufficient, or the requester has failed to comply with the conditions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Violation of a condition in the waiver approval is the equivalent of violation of the particular rule for which the waiver is granted and is subject to the same remedies or penalties.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After the department issues an order granting a waiver, the order is a defense within its terms and the specific facts indicated therein for the person to whom the order pertains in any proceeding in which the rule in question is sought to be invoked.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To the extent judicial review of the department’s decision to grant or deny a waiver petition is available, the procedures set forth in Iowa Code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are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9382C</w:t>
      </w:r>
      <w:r>
        <w:rPr>
          <w:rFonts w:ascii="Times New Roman" w:hAnsi="Times New Roman"/>
          <w:b w:val="false"/>
          <w:i w:val="false"/>
          <w:color w:val="000000"/>
          <w:sz w:val="16"/>
        </w:rPr>
        <w:t>, IAB 6/25/25, effective 7/30/25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w:t>
      </w:r>
      <w:r>
        <w:rPr>
          <w:rFonts w:ascii="Times New Roman" w:hAnsi="Times New Roman"/>
          <w:b/>
          <w:i w:val="false"/>
          <w:color w:val="000000"/>
          <w:sz w:val="22"/>
        </w:rPr>
        <w:t xml:space="preserve">(10A,17A) </w:t>
      </w:r>
      <w:r>
        <w:rPr>
          <w:rFonts w:ascii="Times New Roman" w:hAnsi="Times New Roman"/>
          <w:b/>
          <w:i w:val="false"/>
          <w:color w:val="000000"/>
          <w:sz w:val="22"/>
        </w:rPr>
        <w:t xml:space="preserve">Sample petition for waiver. </w:t>
      </w:r>
      <w:r>
        <w:rPr>
          <w:rFonts w:ascii="Times New Roman" w:hAnsi="Times New Roman"/>
          <w:b w:val="false"/>
          <w:i w:val="false"/>
          <w:color w:val="000000"/>
          <w:sz w:val="22"/>
        </w:rPr>
        <w:t xml:space="preserve">A petition for waiver filed in accordance with rule </w:t>
      </w:r>
      <w:hyperlink r:id="rId19">
        <w:r>
          <w:rPr>
            <w:rStyle w:val="Hyperlink"/>
            <w:rFonts w:ascii="Times New Roman" w:hAnsi="Times New Roman"/>
            <w:b w:val="false"/>
            <w:i w:val="false"/>
            <w:color w:val="000000"/>
            <w:sz w:val="22"/>
          </w:rPr>
          <w:t>481—6.1</w:t>
        </w:r>
      </w:hyperlink>
      <w:r>
        <w:rPr>
          <w:rFonts w:ascii="Times New Roman" w:hAnsi="Times New Roman"/>
          <w:b w:val="false"/>
          <w:i w:val="false"/>
          <w:color w:val="000000"/>
          <w:sz w:val="22"/>
        </w:rPr>
        <w:t>(10A,17A) shall contain all information specified therein. Unless the department provides a particular form or online portal for the submission of a petition for waiver, the petition is not required to conform to a particular format. The following form is provided as an example:</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5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BEFORE THE DEPARTMENT OF INSPECTIONS, APPEALS, AND LICENSING</w:t>
            </w:r>
          </w:p>
        </w:tc>
      </w:tr>
      <w:tr>
        <w:trPr>
          <w:trHeight w:val="93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9"/>
              </w:rPr>
              <w:t>Petition by (insert the name of petitioner)</w:t>
            </w:r>
          </w:p>
          <w:p>
            <w:pPr>
              <w:spacing w:before="0" w:after="0"/>
              <w:ind w:left="160"/>
              <w:jc w:val="left"/>
            </w:pPr>
            <w:r>
              <w:rPr>
                <w:rFonts w:ascii="Times New Roman" w:hAnsi="Times New Roman"/>
                <w:b w:val="false"/>
                <w:i w:val="false"/>
                <w:color w:val="000000"/>
                <w:sz w:val="19"/>
              </w:rPr>
              <w:t>for the waiver of (insert rule citation)</w:t>
            </w:r>
          </w:p>
          <w:p>
            <w:pPr>
              <w:spacing w:before="0" w:after="0"/>
              <w:ind w:left="160"/>
              <w:jc w:val="left"/>
            </w:pPr>
            <w:r>
              <w:rPr>
                <w:rFonts w:ascii="Times New Roman" w:hAnsi="Times New Roman"/>
                <w:b w:val="false"/>
                <w:i w:val="false"/>
                <w:color w:val="000000"/>
                <w:sz w:val="19"/>
              </w:rPr>
              <w:t>relating to (insert the subject matter).</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PETITION FOR WAIVER</w:t>
            </w:r>
          </w:p>
        </w:tc>
      </w:tr>
    </w:tbl>
    <w:p>
      <w:pPr>
        <w:spacing w:before="0" w:after="0"/>
        <w:ind w:left="120"/>
        <w:jc w:val="both"/>
      </w:pPr>
      <w:r>
        <w:rPr>
          <w:rFonts w:ascii="Times New Roman" w:hAnsi="Times New Roman"/>
          <w:b w:val="false"/>
          <w:i w:val="false"/>
          <w:color w:val="000000"/>
          <w:sz w:val="22"/>
        </w:rPr>
        <w:t>(Include the following information in the petition for waiver where applicable and known:)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the petitioner’s name, address and telephone number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Describe and cite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Describe 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Explain the relevant facts and reasons the petitioner believes justify the waiver.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Why applying the rule would result in undue hardship to the petitioner;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Why waiving the rule would not prejudice the substantial legal rights of any person;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provisions of the rule subject to the waiver are specifically mandated by statute or another provision of law;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Provide a history of any prior contacts between the department and the petitioner relating to the regulated activity, license, appeal, hearing, audit, investigation, inspection, representation or other assigned function of the department that would be affected by the proposed waiver, including a description of any related notices of violation, contested case hearings, or investigative reports relating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Provide information known to the petitioner regarding the department’s treatment of similar circumstances.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Provide the name, address and telephone number of any public agency or political subdivision that also regulates the activity in question or that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Provide the name, address and telephone number of any person or entity that would be adversely affected or disadvantaged by the granting of the waiver.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Provide signed releases of information authorizing persons with knowledge regarding the request to furnish the department with information relevant to the waiver.</w:t>
      </w:r>
    </w:p>
    <w:p>
      <w:pPr>
        <w:spacing w:before="0" w:after="0"/>
        <w:ind w:left="120"/>
        <w:jc w:val="both"/>
      </w:pPr>
      <w:r>
        <w:rPr>
          <w:rFonts w:ascii="Times New Roman" w:hAnsi="Times New Roman"/>
          <w:b w:val="false"/>
          <w:i w:val="false"/>
          <w:color w:val="000000"/>
          <w:sz w:val="22"/>
        </w:rPr>
        <w:t>I hereby attest to the accuracy and truthfulness of the above information.</w:t>
      </w:r>
    </w:p>
    <w:tbl>
      <w:tblPr>
        <w:tblW w:w="5000" w:type="pct"/>
        <w:tblCellSpacing w:w="0" w:type="auto"/>
        <w:tblBorders>
          <w:top w:val="none"/>
          <w:left w:val="none"/>
          <w:bottom w:val="none"/>
          <w:right w:val="none"/>
          <w:insideH w:val="none"/>
          <w:insideV w:val="none"/>
        </w:tblBorders>
        <w:tblLayout w:type="fixed"/>
      </w:tblPr>
      <w:tblGrid>
        <w:gridCol w:w="6708"/>
        <w:gridCol w:w="441"/>
        <w:gridCol w:w="4041"/>
      </w:tblGrid>
      <w:tr>
        <w:trPr>
          <w:trHeight w:val="270" w:hRule="atLeast"/>
        </w:trPr>
        <w:tc>
          <w:tcPr>
            <w:tcW w:w="6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9382C</w:t>
      </w:r>
      <w:r>
        <w:rPr>
          <w:rFonts w:ascii="Times New Roman" w:hAnsi="Times New Roman"/>
          <w:b w:val="false"/>
          <w:i w:val="false"/>
          <w:color w:val="000000"/>
          <w:sz w:val="16"/>
        </w:rPr>
        <w:t>, IAB 6/25/25, effective 7/30/25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0">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chapter </w:t>
      </w:r>
      <w:hyperlink r:id="rId21">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4/12/01, Notice 1/24/01—published 5/2/01, effective 6/6/01]</w:t>
      </w:r>
    </w:p>
    <w:p>
      <w:pPr>
        <w:spacing w:before="0" w:after="0"/>
        <w:ind w:left="120"/>
        <w:jc w:val="center"/>
      </w:pPr>
      <w:r>
        <w:rPr>
          <w:rFonts w:ascii="Times New Roman" w:hAnsi="Times New Roman"/>
          <w:b w:val="false"/>
          <w:i w:val="false"/>
          <w:color w:val="000000"/>
          <w:sz w:val="21"/>
        </w:rPr>
        <w:t>[Filed ARC 5670C</w:t>
      </w:r>
      <w:r>
        <w:rPr>
          <w:rFonts w:ascii="Times New Roman" w:hAnsi="Times New Roman"/>
          <w:b w:val="false"/>
          <w:i w:val="false"/>
          <w:color w:val="000000"/>
          <w:sz w:val="21"/>
        </w:rPr>
        <w:t xml:space="preserve"> (Notice ARC 5551C, IAB 4/7/21)</w:t>
      </w:r>
      <w:r>
        <w:rPr>
          <w:rFonts w:ascii="Times New Roman" w:hAnsi="Times New Roman"/>
          <w:b w:val="false"/>
          <w:i w:val="false"/>
          <w:color w:val="000000"/>
          <w:sz w:val="21"/>
        </w:rPr>
        <w:t>, IAB 6/2/21, effective 7/21/21]</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9382C</w:t>
      </w:r>
      <w:r>
        <w:rPr>
          <w:rFonts w:ascii="Times New Roman" w:hAnsi="Times New Roman"/>
          <w:b w:val="false"/>
          <w:i w:val="false"/>
          <w:color w:val="000000"/>
          <w:sz w:val="21"/>
        </w:rPr>
        <w:t xml:space="preserve"> (Notice ARC 9143C, IAB 4/30/25)</w:t>
      </w:r>
      <w:r>
        <w:rPr>
          <w:rFonts w:ascii="Times New Roman" w:hAnsi="Times New Roman"/>
          <w:b w:val="false"/>
          <w:i w:val="false"/>
          <w:color w:val="000000"/>
          <w:sz w:val="21"/>
        </w:rPr>
        <w:t>, IAB 6/25/25, effective 7/30/25]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co/chapter/10A.pdf" Type="http://schemas.openxmlformats.org/officeDocument/2006/relationships/hyperlink" Id="rId6"/>
    <Relationship TargetMode="External" Target="https://www.legis.iowa.gov/docs/ico/chapter/10A.pdf" Type="http://schemas.openxmlformats.org/officeDocument/2006/relationships/hyperlink" Id="rId7"/>
    <Relationship TargetMode="External" Target="https://www.legis.iowa.gov/docs/ico/chapter/10A.pdf" Type="http://schemas.openxmlformats.org/officeDocument/2006/relationships/hyperlink" Id="rId8"/>
    <Relationship TargetMode="External" Target="https://www.legis.iowa.gov/docs/ico/chapter/10A.pdf" Type="http://schemas.openxmlformats.org/officeDocument/2006/relationships/hyperlink" Id="rId9"/>
    <Relationship TargetMode="External" Target="https://www.legis.iowa.gov/docs/iac/rule/481.6.1.pdf" Type="http://schemas.openxmlformats.org/officeDocument/2006/relationships/hyperlink" Id="rId10"/>
    <Relationship TargetMode="External" Target="https://www.legis.iowa.gov/docs/iac/rule/481.6.1.pdf" Type="http://schemas.openxmlformats.org/officeDocument/2006/relationships/hyperlink" Id="rId11"/>
    <Relationship TargetMode="External" Target="http://dial.iowa.gov" Type="http://schemas.openxmlformats.org/officeDocument/2006/relationships/hyperlink" Id="rId12"/>
    <Relationship TargetMode="External" Target="https://www.legis.iowa.gov/docs/iac/rule/481.6.1.pdf" Type="http://schemas.openxmlformats.org/officeDocument/2006/relationships/hyperlink" Id="rId13"/>
    <Relationship TargetMode="External" Target="https://www.legis.iowa.gov/docs/iac/rule/481.6.1.pdf" Type="http://schemas.openxmlformats.org/officeDocument/2006/relationships/hyperlink" Id="rId14"/>
    <Relationship TargetMode="External" Target="https://www.legis.iowa.gov/docs/ico/chapter/17A.3.pdf" Type="http://schemas.openxmlformats.org/officeDocument/2006/relationships/hyperlink" Id="rId15"/>
    <Relationship TargetMode="External" Target="https://www.legis.iowa.gov/docs/ico/chapter/17A.9A.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ac/rule/481.6.1.pdf" Type="http://schemas.openxmlformats.org/officeDocument/2006/relationships/hyperlink" Id="rId19"/>
    <Relationship TargetMode="External" Target="https://www.legis.iowa.gov/docs/ico/chapter/17A.9A.pdf" Type="http://schemas.openxmlformats.org/officeDocument/2006/relationships/hyperlink" Id="rId20"/>
    <Relationship TargetMode="External" Target="https://www.legis.iowa.gov/docs/ico/chapter/10A.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