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557</w:t>
      </w:r>
    </w:p>
    <w:p>
      <w:pPr>
        <w:spacing w:before="0" w:after="0"/>
        <w:ind w:left="120"/>
        <w:jc w:val="center"/>
      </w:pPr>
      <w:r>
        <w:rPr>
          <w:rFonts w:ascii="Times New Roman" w:hAnsi="Times New Roman"/>
          <w:b w:val="false"/>
          <w:i w:val="false"/>
          <w:color w:val="000000"/>
          <w:sz w:val="21"/>
        </w:rPr>
        <w:t>BOARD OF PHARMACY OPERATIONS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481—557.1</w:t>
      </w:r>
      <w:r>
        <w:rPr>
          <w:rFonts w:ascii="Times New Roman" w:hAnsi="Times New Roman"/>
          <w:b/>
          <w:i w:val="false"/>
          <w:color w:val="000000"/>
          <w:sz w:val="22"/>
        </w:rPr>
        <w:t xml:space="preserve">(17A,147,155A,272C) </w:t>
      </w:r>
      <w:r>
        <w:rPr>
          <w:rFonts w:ascii="Times New Roman" w:hAnsi="Times New Roman"/>
          <w:b/>
          <w:i w:val="false"/>
          <w:color w:val="000000"/>
          <w:sz w:val="22"/>
        </w:rPr>
        <w:t xml:space="preserve">Board of pharmacy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board’s authority for regulating the practice of pharmacy and the legal distribution and dispensing of prescription drugs and devices, including controlled substances, in the state of Iowa is found in Iowa Code chapters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Licensing of individuals. Licensing or registering qualified individuals in the practice of pharmacy and the handling or prescribing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Licensing of practice locations. Licensing or registering authorized entities engaged in the legal distribution or dispensing of prescription drugs, devices and controlled substances within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compliance inspections, audits and investigations of any persons or entities licensed or registered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Instituting disciplinary actions, hearing contested cases, issuing decisions and orders, and enforcing the terms of filed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All meetings of the board will be open to the public except as authorized by the Iowa Code. Meeting notices will be routinely posted on the department of inspections, appeals, and licensing’s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The following nonrefundable fees will be assessed for the following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license or registration verification: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licensee data files: variable, $35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payment: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pharmacist license certificate: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pharmacist-intern internship hours: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557.1(5)</w:t>
      </w:r>
      <w:r>
        <w:rPr>
          <w:rFonts w:ascii="Times New Roman" w:hAnsi="Times New Roman"/>
          <w:b w:val="false"/>
          <w:i w:val="false"/>
          <w:color w:val="000000"/>
          <w:sz w:val="22"/>
        </w:rPr>
        <w:t> </w:t>
      </w:r>
      <w:r>
        <w:rPr>
          <w:rFonts w:ascii="Times New Roman" w:hAnsi="Times New Roman"/>
          <w:b w:val="false"/>
          <w:i/>
          <w:color w:val="000000"/>
          <w:sz w:val="22"/>
        </w:rPr>
        <w:t xml:space="preserve">Overpayment of fees. </w:t>
      </w:r>
      <w:r>
        <w:rPr>
          <w:rFonts w:ascii="Times New Roman" w:hAnsi="Times New Roman"/>
          <w:b w:val="false"/>
          <w:i w:val="false"/>
          <w:color w:val="000000"/>
          <w:sz w:val="22"/>
        </w:rPr>
        <w:t>Payment for any administrative service or license fee in excess of the required fee amount of $10 or less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557.1(6)</w:t>
      </w:r>
      <w:r>
        <w:rPr>
          <w:rFonts w:ascii="Times New Roman" w:hAnsi="Times New Roman"/>
          <w:b w:val="false"/>
          <w:i w:val="false"/>
          <w:color w:val="000000"/>
          <w:sz w:val="22"/>
        </w:rPr>
        <w:t> </w:t>
      </w:r>
      <w:r>
        <w:rPr>
          <w:rFonts w:ascii="Times New Roman" w:hAnsi="Times New Roman"/>
          <w:b w:val="false"/>
          <w:i/>
          <w:color w:val="000000"/>
          <w:sz w:val="22"/>
        </w:rPr>
        <w:t xml:space="preserve">Adoption of agency rules by reference. </w:t>
      </w:r>
      <w:r>
        <w:rPr>
          <w:rFonts w:ascii="Times New Roman" w:hAnsi="Times New Roman"/>
          <w:b w:val="false"/>
          <w:i w:val="false"/>
          <w:color w:val="000000"/>
          <w:sz w:val="22"/>
        </w:rPr>
        <w:t>The board adopts by reference the following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records and fair information practices as found in </w:t>
      </w:r>
      <w:hyperlink r:id="rId12">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for rulemaking as found in </w:t>
      </w:r>
      <w:hyperlink r:id="rId13">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Declaratory orders as found in </w:t>
      </w:r>
      <w:hyperlink r:id="rId14">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procedure for rulemaking as found in </w:t>
      </w:r>
      <w:hyperlink r:id="rId15">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and services as found in rule </w:t>
      </w:r>
      <w:hyperlink r:id="rId16">
        <w:r>
          <w:rPr>
            <w:rStyle w:val="Hyperlink"/>
            <w:rFonts w:ascii="Times New Roman" w:hAnsi="Times New Roman"/>
            <w:b w:val="false"/>
            <w:i w:val="false"/>
            <w:color w:val="000000"/>
            <w:sz w:val="22"/>
          </w:rPr>
          <w:t>481—1.12</w:t>
        </w:r>
      </w:hyperlink>
      <w:r>
        <w:rPr>
          <w:rFonts w:ascii="Times New Roman" w:hAnsi="Times New Roman"/>
          <w:b w:val="false"/>
          <w:i w:val="false"/>
          <w:color w:val="000000"/>
          <w:sz w:val="22"/>
        </w:rPr>
        <w:t>(10A,68B).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 review committee as found in </w:t>
      </w:r>
      <w:hyperlink r:id="rId1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as found in </w:t>
      </w:r>
      <w:hyperlink r:id="rId1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board administrative processes as found in </w:t>
      </w:r>
      <w:hyperlink r:id="rId19">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complaints and investigations as found in </w:t>
      </w:r>
      <w:hyperlink r:id="rId20">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26">
        <w:r>
          <w:rPr>
            <w:rStyle w:val="Hyperlink"/>
            <w:rFonts w:ascii="Times New Roman" w:hAnsi="Times New Roman"/>
            <w:b w:val="false"/>
            <w:i w:val="false"/>
            <w:color w:val="000000"/>
            <w:sz w:val="22"/>
          </w:rPr>
          <w:t>272C </w:t>
        </w:r>
      </w:hyperlink>
      <w:r>
        <w:rPr>
          <w:rFonts w:ascii="Times New Roman" w:hAnsi="Times New Roman"/>
          <w:b w:val="false"/>
          <w:i w:val="false"/>
          <w:color w:val="000000"/>
          <w:sz w:val="22"/>
        </w:rPr>
        <w:t xml:space="preserve">and section </w:t>
      </w:r>
      <w:hyperlink r:id="rId2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9343C</w:t>
      </w:r>
      <w:r>
        <w:rPr>
          <w:rFonts w:ascii="Times New Roman" w:hAnsi="Times New Roman"/>
          <w:b w:val="false"/>
          <w:i w:val="false"/>
          <w:color w:val="000000"/>
          <w:sz w:val="21"/>
        </w:rPr>
        <w:t xml:space="preserve"> (Notice ARC 8424C,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B.pdf" Type="http://schemas.openxmlformats.org/officeDocument/2006/relationships/hyperlink" Id="rId6"/>
    <Relationship TargetMode="External" Target="https://www.legis.iowa.gov/docs/ico/chapter/126.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ac/chapter/481.5.pdf" Type="http://schemas.openxmlformats.org/officeDocument/2006/relationships/hyperlink" Id="rId12"/>
    <Relationship TargetMode="External" Target="https://www.legis.iowa.gov/docs/iac/chapter/481.2.pdf" Type="http://schemas.openxmlformats.org/officeDocument/2006/relationships/hyperlink" Id="rId13"/>
    <Relationship TargetMode="External" Target="https://www.legis.iowa.gov/docs/iac/chapter/481.3.pdf" Type="http://schemas.openxmlformats.org/officeDocument/2006/relationships/hyperlink" Id="rId14"/>
    <Relationship TargetMode="External" Target="https://www.legis.iowa.gov/docs/iac/chapter/481.4.pdf" Type="http://schemas.openxmlformats.org/officeDocument/2006/relationships/hyperlink" Id="rId15"/>
    <Relationship TargetMode="External" Target="https://www.legis.iowa.gov/docs/iac/rule/481.1.12.pdf" Type="http://schemas.openxmlformats.org/officeDocument/2006/relationships/hyperlink" Id="rId16"/>
    <Relationship TargetMode="External" Target="https://www.legis.iowa.gov/docs/iac/chapter/481.505.pdf" Type="http://schemas.openxmlformats.org/officeDocument/2006/relationships/hyperlink" Id="rId17"/>
    <Relationship TargetMode="External" Target="https://www.legis.iowa.gov/docs/iac/chapter/481.6.pdf" Type="http://schemas.openxmlformats.org/officeDocument/2006/relationships/hyperlink" Id="rId18"/>
    <Relationship TargetMode="External" Target="https://www.legis.iowa.gov/docs/iac/chapter/481.500.pdf" Type="http://schemas.openxmlformats.org/officeDocument/2006/relationships/hyperlink" Id="rId19"/>
    <Relationship TargetMode="External" Target="https://www.legis.iowa.gov/docs/iac/chapter/481.50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1.pdf" Type="http://schemas.openxmlformats.org/officeDocument/2006/relationships/hyperlink" Id="rId22"/>
    <Relationship TargetMode="External" Target="https://www.legis.iowa.gov/docs/ico/chapter/124.pdf" Type="http://schemas.openxmlformats.org/officeDocument/2006/relationships/hyperlink" Id="rId23"/>
    <Relationship TargetMode="External" Target="https://www.legis.iowa.gov/docs/ico/chapter/124B.pdf" Type="http://schemas.openxmlformats.org/officeDocument/2006/relationships/hyperlink" Id="rId24"/>
    <Relationship TargetMode="External" Target="https://www.legis.iowa.gov/docs/ico/chapter/155A.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co/chapter/147.80.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