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554</w:t>
      </w:r>
    </w:p>
    <w:p>
      <w:pPr>
        <w:spacing w:before="0" w:after="0"/>
        <w:ind w:left="120"/>
        <w:jc w:val="center"/>
      </w:pPr>
      <w:r>
        <w:rPr>
          <w:rFonts w:ascii="Times New Roman" w:hAnsi="Times New Roman"/>
          <w:b w:val="false"/>
          <w:i w:val="false"/>
          <w:color w:val="000000"/>
          <w:sz w:val="21"/>
        </w:rPr>
        <w:t>OPERATIONAL STANDARDS—DISTRIBUTION AND DRUG SUPPLY CHAIN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7/16/30</w:t>
      </w:r>
    </w:p>
    <w:p>
      <w:pPr>
        <w:spacing w:before="0" w:after="0"/>
        <w:ind w:left="120"/>
        <w:jc w:val="both"/>
      </w:pPr>
      <w:r>
        <w:rPr>
          <w:rFonts w:ascii="Times New Roman" w:hAnsi="Times New Roman"/>
          <w:b/>
          <w:i w:val="false"/>
          <w:color w:val="000000"/>
          <w:sz w:val="22"/>
        </w:rPr>
        <w:t>481—554.1</w:t>
      </w:r>
      <w:r>
        <w:rPr>
          <w:rFonts w:ascii="Times New Roman" w:hAnsi="Times New Roman"/>
          <w:b/>
          <w:i w:val="false"/>
          <w:color w:val="000000"/>
          <w:sz w:val="22"/>
        </w:rPr>
        <w:t xml:space="preserve">(124,124B)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found in </w:t>
      </w:r>
      <w:hyperlink r:id="rId5">
        <w:r>
          <w:rPr>
            <w:rStyle w:val="Hyperlink"/>
            <w:rFonts w:ascii="Times New Roman" w:hAnsi="Times New Roman"/>
            <w:b w:val="false"/>
            <w:i w:val="false"/>
            <w:color w:val="000000"/>
            <w:sz w:val="22"/>
          </w:rPr>
          <w:t>481—Chapter 550</w:t>
        </w:r>
      </w:hyperlink>
      <w:r>
        <w:rPr>
          <w:rFonts w:ascii="Times New Roman" w:hAnsi="Times New Roman"/>
          <w:b w:val="false"/>
          <w:i w:val="false"/>
          <w:color w:val="000000"/>
          <w:sz w:val="22"/>
        </w:rPr>
        <w:t xml:space="preserve"> are incorporated by reference into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9340C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481—554.2</w:t>
      </w:r>
      <w:r>
        <w:rPr>
          <w:rFonts w:ascii="Times New Roman" w:hAnsi="Times New Roman"/>
          <w:b/>
          <w:i w:val="false"/>
          <w:color w:val="000000"/>
          <w:sz w:val="22"/>
        </w:rPr>
        <w:t xml:space="preserve">(155A) </w:t>
      </w:r>
      <w:r>
        <w:rPr>
          <w:rFonts w:ascii="Times New Roman" w:hAnsi="Times New Roman"/>
          <w:b/>
          <w:i w:val="false"/>
          <w:color w:val="000000"/>
          <w:sz w:val="22"/>
        </w:rPr>
        <w:t xml:space="preserve">Compliance with federal laws and regulations.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554.2(1)</w:t>
      </w:r>
      <w:r>
        <w:rPr>
          <w:rFonts w:ascii="Times New Roman" w:hAnsi="Times New Roman"/>
          <w:b w:val="false"/>
          <w:i w:val="false"/>
          <w:color w:val="000000"/>
          <w:sz w:val="22"/>
        </w:rPr>
        <w:t> </w:t>
      </w:r>
      <w:r>
        <w:rPr>
          <w:rFonts w:ascii="Times New Roman" w:hAnsi="Times New Roman"/>
          <w:b w:val="false"/>
          <w:i/>
          <w:color w:val="000000"/>
          <w:sz w:val="22"/>
        </w:rPr>
        <w:t xml:space="preserve">Distribution of finished drug products. </w:t>
      </w:r>
      <w:r>
        <w:rPr>
          <w:rFonts w:ascii="Times New Roman" w:hAnsi="Times New Roman"/>
          <w:b w:val="false"/>
          <w:i w:val="false"/>
          <w:color w:val="000000"/>
          <w:sz w:val="22"/>
        </w:rPr>
        <w:t xml:space="preserve">Licensees will comply with applicable federal laws and regulations relating to the distribution of products as defined in </w:t>
      </w:r>
      <w:r>
        <w:rPr>
          <w:rFonts w:ascii="Times New Roman" w:hAnsi="Times New Roman"/>
          <w:b w:val="false"/>
          <w:i w:val="false"/>
          <w:color w:val="000000"/>
          <w:sz w:val="22"/>
        </w:rPr>
        <w:t>21 U.S.C. §360e</w:t>
      </w:r>
      <w:r>
        <w:rPr>
          <w:rFonts w:ascii="Times New Roman" w:hAnsi="Times New Roman"/>
          <w:b w:val="false"/>
          <w:i w:val="false"/>
          <w:color w:val="000000"/>
          <w:sz w:val="22"/>
        </w:rPr>
        <w:t xml:space="preserve">ee. </w:t>
      </w:r>
      <w:r>
        <w:rPr>
          <w:rFonts w:ascii="Times New Roman" w:hAnsi="Times New Roman"/>
          <w:b w:val="false"/>
          <w:i w:val="false"/>
          <w:color w:val="000000"/>
          <w:sz w:val="22"/>
        </w:rPr>
        <w:t>21 U.S.C.</w:t>
      </w:r>
      <w:r>
        <w:rPr>
          <w:rFonts w:ascii="Times New Roman" w:hAnsi="Times New Roman"/>
          <w:b w:val="false"/>
          <w:i w:val="false"/>
          <w:color w:val="000000"/>
          <w:sz w:val="22"/>
        </w:rPr>
        <w:t xml:space="preserve"> Chapter 9, Subchapter V, Part H, as enacted November 27, 2013, is incorporated herein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554.2(2)</w:t>
      </w:r>
      <w:r>
        <w:rPr>
          <w:rFonts w:ascii="Times New Roman" w:hAnsi="Times New Roman"/>
          <w:b w:val="false"/>
          <w:i w:val="false"/>
          <w:color w:val="000000"/>
          <w:sz w:val="22"/>
        </w:rPr>
        <w:t> </w:t>
      </w:r>
      <w:r>
        <w:rPr>
          <w:rFonts w:ascii="Times New Roman" w:hAnsi="Times New Roman"/>
          <w:b w:val="false"/>
          <w:i/>
          <w:color w:val="000000"/>
          <w:sz w:val="22"/>
        </w:rPr>
        <w:t xml:space="preserve">Distribution of compounded preparations. </w:t>
      </w:r>
      <w:r>
        <w:rPr>
          <w:rFonts w:ascii="Times New Roman" w:hAnsi="Times New Roman"/>
          <w:b w:val="false"/>
          <w:i w:val="false"/>
          <w:color w:val="000000"/>
          <w:sz w:val="22"/>
        </w:rPr>
        <w:t xml:space="preserve">Licensees will comply with applicable federal laws and regulations relating to the distribution of compounded preparations as found in </w:t>
      </w:r>
      <w:r>
        <w:rPr>
          <w:rFonts w:ascii="Times New Roman" w:hAnsi="Times New Roman"/>
          <w:b w:val="false"/>
          <w:i w:val="false"/>
          <w:color w:val="000000"/>
          <w:sz w:val="22"/>
        </w:rPr>
        <w:t>21 U.S.C. §353b</w:t>
      </w:r>
      <w:r>
        <w:rPr>
          <w:rFonts w:ascii="Times New Roman" w:hAnsi="Times New Roman"/>
          <w:b w:val="false"/>
          <w:i w:val="false"/>
          <w:color w:val="000000"/>
          <w:sz w:val="22"/>
        </w:rPr>
        <w:t xml:space="preserve"> (Food, Drug, and Cosmetic Act §503B), as enacted November 27, 2013.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9340C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481—554.3</w:t>
      </w:r>
      <w:r>
        <w:rPr>
          <w:rFonts w:ascii="Times New Roman" w:hAnsi="Times New Roman"/>
          <w:b/>
          <w:i w:val="false"/>
          <w:color w:val="000000"/>
          <w:sz w:val="22"/>
        </w:rPr>
        <w:t xml:space="preserve">(155A) </w:t>
      </w:r>
      <w:r>
        <w:rPr>
          <w:rFonts w:ascii="Times New Roman" w:hAnsi="Times New Roman"/>
          <w:b/>
          <w:i w:val="false"/>
          <w:color w:val="000000"/>
          <w:sz w:val="22"/>
        </w:rPr>
        <w:t xml:space="preserve">Policies and procedures. </w:t>
      </w:r>
      <w:r>
        <w:rPr>
          <w:rFonts w:ascii="Times New Roman" w:hAnsi="Times New Roman"/>
          <w:b w:val="false"/>
          <w:i w:val="false"/>
          <w:color w:val="000000"/>
          <w:sz w:val="22"/>
        </w:rPr>
        <w:t>Licensees will establish, maintain, and adhere to written policies and procedures that address, at a minimum: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554.3(1)</w:t>
      </w:r>
      <w:r>
        <w:rPr>
          <w:rFonts w:ascii="Times New Roman" w:hAnsi="Times New Roman"/>
          <w:b w:val="false"/>
          <w:i w:val="false"/>
          <w:color w:val="000000"/>
          <w:sz w:val="22"/>
        </w:rPr>
        <w:t> </w:t>
      </w:r>
      <w:r>
        <w:rPr>
          <w:rFonts w:ascii="Times New Roman" w:hAnsi="Times New Roman"/>
          <w:b w:val="false"/>
          <w:i w:val="false"/>
          <w:color w:val="000000"/>
          <w:sz w:val="22"/>
        </w:rPr>
        <w:t>Receipt, security, storage, inventory, and distribution of prescription drugs and devices, including for drugs and devices supplied to a salesperson or representative or dispensed pursuant to patient-specific prescriptions.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554.3(2)</w:t>
      </w:r>
      <w:r>
        <w:rPr>
          <w:rFonts w:ascii="Times New Roman" w:hAnsi="Times New Roman"/>
          <w:b w:val="false"/>
          <w:i w:val="false"/>
          <w:color w:val="000000"/>
          <w:sz w:val="22"/>
        </w:rPr>
        <w:t> </w:t>
      </w:r>
      <w:r>
        <w:rPr>
          <w:rFonts w:ascii="Times New Roman" w:hAnsi="Times New Roman"/>
          <w:b w:val="false"/>
          <w:i w:val="false"/>
          <w:color w:val="000000"/>
          <w:sz w:val="22"/>
        </w:rPr>
        <w:t>Identification, record, and report of a theft or loss of prescription drugs and devices.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554.3(3)</w:t>
      </w:r>
      <w:r>
        <w:rPr>
          <w:rFonts w:ascii="Times New Roman" w:hAnsi="Times New Roman"/>
          <w:b w:val="false"/>
          <w:i w:val="false"/>
          <w:color w:val="000000"/>
          <w:sz w:val="22"/>
        </w:rPr>
        <w:t> </w:t>
      </w:r>
      <w:r>
        <w:rPr>
          <w:rFonts w:ascii="Times New Roman" w:hAnsi="Times New Roman"/>
          <w:b w:val="false"/>
          <w:i w:val="false"/>
          <w:color w:val="000000"/>
          <w:sz w:val="22"/>
        </w:rPr>
        <w:t>Correction of all errors and inaccuracies in inventories.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554.3(4)</w:t>
      </w:r>
      <w:r>
        <w:rPr>
          <w:rFonts w:ascii="Times New Roman" w:hAnsi="Times New Roman"/>
          <w:b w:val="false"/>
          <w:i w:val="false"/>
          <w:color w:val="000000"/>
          <w:sz w:val="22"/>
        </w:rPr>
        <w:t> </w:t>
      </w:r>
      <w:r>
        <w:rPr>
          <w:rFonts w:ascii="Times New Roman" w:hAnsi="Times New Roman"/>
          <w:b w:val="false"/>
          <w:i w:val="false"/>
          <w:color w:val="000000"/>
          <w:sz w:val="22"/>
        </w:rPr>
        <w:t>Recalls and market withdrawals, except for returns processors.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554.3(5)</w:t>
      </w:r>
      <w:r>
        <w:rPr>
          <w:rFonts w:ascii="Times New Roman" w:hAnsi="Times New Roman"/>
          <w:b w:val="false"/>
          <w:i w:val="false"/>
          <w:color w:val="000000"/>
          <w:sz w:val="22"/>
        </w:rPr>
        <w:t> </w:t>
      </w:r>
      <w:r>
        <w:rPr>
          <w:rFonts w:ascii="Times New Roman" w:hAnsi="Times New Roman"/>
          <w:b w:val="false"/>
          <w:i w:val="false"/>
          <w:color w:val="000000"/>
          <w:sz w:val="22"/>
        </w:rPr>
        <w:t>Emergency and disaster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554.3(6)</w:t>
      </w:r>
      <w:r>
        <w:rPr>
          <w:rFonts w:ascii="Times New Roman" w:hAnsi="Times New Roman"/>
          <w:b w:val="false"/>
          <w:i w:val="false"/>
          <w:color w:val="000000"/>
          <w:sz w:val="22"/>
        </w:rPr>
        <w:t> </w:t>
      </w:r>
      <w:r>
        <w:rPr>
          <w:rFonts w:ascii="Times New Roman" w:hAnsi="Times New Roman"/>
          <w:b w:val="false"/>
          <w:i w:val="false"/>
          <w:color w:val="000000"/>
          <w:sz w:val="22"/>
        </w:rPr>
        <w:t>Outdated, adulterated, or suspect drugs and devices.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554.3(7)</w:t>
      </w:r>
      <w:r>
        <w:rPr>
          <w:rFonts w:ascii="Times New Roman" w:hAnsi="Times New Roman"/>
          <w:b w:val="false"/>
          <w:i w:val="false"/>
          <w:color w:val="000000"/>
          <w:sz w:val="22"/>
        </w:rPr>
        <w:t> </w:t>
      </w:r>
      <w:r>
        <w:rPr>
          <w:rFonts w:ascii="Times New Roman" w:hAnsi="Times New Roman"/>
          <w:b w:val="false"/>
          <w:i w:val="false"/>
          <w:color w:val="000000"/>
          <w:sz w:val="22"/>
        </w:rPr>
        <w:t>Personnel education and experience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554.3(8)</w:t>
      </w:r>
      <w:r>
        <w:rPr>
          <w:rFonts w:ascii="Times New Roman" w:hAnsi="Times New Roman"/>
          <w:b w:val="false"/>
          <w:i w:val="false"/>
          <w:color w:val="000000"/>
          <w:sz w:val="22"/>
        </w:rPr>
        <w:t> </w:t>
      </w:r>
      <w:r>
        <w:rPr>
          <w:rFonts w:ascii="Times New Roman" w:hAnsi="Times New Roman"/>
          <w:b w:val="false"/>
          <w:i w:val="false"/>
          <w:color w:val="000000"/>
          <w:sz w:val="22"/>
        </w:rPr>
        <w:t>Storage and security of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554.3(9)</w:t>
      </w:r>
      <w:r>
        <w:rPr>
          <w:rFonts w:ascii="Times New Roman" w:hAnsi="Times New Roman"/>
          <w:b w:val="false"/>
          <w:i w:val="false"/>
          <w:color w:val="000000"/>
          <w:sz w:val="22"/>
        </w:rPr>
        <w:t> </w:t>
      </w:r>
      <w:r>
        <w:rPr>
          <w:rFonts w:ascii="Times New Roman" w:hAnsi="Times New Roman"/>
          <w:b w:val="false"/>
          <w:i w:val="false"/>
          <w:color w:val="000000"/>
          <w:sz w:val="22"/>
        </w:rPr>
        <w:t>Drug and device diversion prevention and detection.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554.3(10)</w:t>
      </w:r>
      <w:r>
        <w:rPr>
          <w:rFonts w:ascii="Times New Roman" w:hAnsi="Times New Roman"/>
          <w:b w:val="false"/>
          <w:i w:val="false"/>
          <w:color w:val="000000"/>
          <w:sz w:val="22"/>
        </w:rPr>
        <w:t> </w:t>
      </w:r>
      <w:r>
        <w:rPr>
          <w:rFonts w:ascii="Times New Roman" w:hAnsi="Times New Roman"/>
          <w:b w:val="false"/>
          <w:i w:val="false"/>
          <w:color w:val="000000"/>
          <w:sz w:val="22"/>
        </w:rPr>
        <w:t>Routine environmental monitoring of drug storage areas, except for returns processors.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554.3(11)</w:t>
      </w:r>
      <w:r>
        <w:rPr>
          <w:rFonts w:ascii="Times New Roman" w:hAnsi="Times New Roman"/>
          <w:b w:val="false"/>
          <w:i w:val="false"/>
          <w:color w:val="000000"/>
          <w:sz w:val="22"/>
        </w:rPr>
        <w:t> </w:t>
      </w:r>
      <w:r>
        <w:rPr>
          <w:rFonts w:ascii="Times New Roman" w:hAnsi="Times New Roman"/>
          <w:b w:val="false"/>
          <w:i w:val="false"/>
          <w:color w:val="000000"/>
          <w:sz w:val="22"/>
        </w:rPr>
        <w:t>Source verification.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9340C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481—554.4</w:t>
      </w:r>
      <w:r>
        <w:rPr>
          <w:rFonts w:ascii="Times New Roman" w:hAnsi="Times New Roman"/>
          <w:b/>
          <w:i w:val="false"/>
          <w:color w:val="000000"/>
          <w:sz w:val="22"/>
        </w:rPr>
        <w:t xml:space="preserve">(155A) </w:t>
      </w:r>
      <w:r>
        <w:rPr>
          <w:rFonts w:ascii="Times New Roman" w:hAnsi="Times New Roman"/>
          <w:b/>
          <w:i w:val="false"/>
          <w:color w:val="000000"/>
          <w:sz w:val="22"/>
        </w:rPr>
        <w:t xml:space="preserve">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554.4(1)</w:t>
      </w:r>
      <w:r>
        <w:rPr>
          <w:rFonts w:ascii="Times New Roman" w:hAnsi="Times New Roman"/>
          <w:b w:val="false"/>
          <w:i w:val="false"/>
          <w:color w:val="000000"/>
          <w:sz w:val="22"/>
        </w:rPr>
        <w:t> </w:t>
      </w:r>
      <w:r>
        <w:rPr>
          <w:rFonts w:ascii="Times New Roman" w:hAnsi="Times New Roman"/>
          <w:b w:val="false"/>
          <w:i/>
          <w:color w:val="000000"/>
          <w:sz w:val="22"/>
        </w:rPr>
        <w:t xml:space="preserve">Retention. </w:t>
      </w:r>
      <w:r>
        <w:rPr>
          <w:rFonts w:ascii="Times New Roman" w:hAnsi="Times New Roman"/>
          <w:b w:val="false"/>
          <w:i w:val="false"/>
          <w:color w:val="000000"/>
          <w:sz w:val="22"/>
        </w:rPr>
        <w:t>All records relating to distribution will be maintained at the licensed location for at least two years from the date of the record or entry to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554.4(2)</w:t>
      </w:r>
      <w:r>
        <w:rPr>
          <w:rFonts w:ascii="Times New Roman" w:hAnsi="Times New Roman"/>
          <w:b w:val="false"/>
          <w:i w:val="false"/>
          <w:color w:val="000000"/>
          <w:sz w:val="22"/>
        </w:rPr>
        <w:t> </w:t>
      </w:r>
      <w:r>
        <w:rPr>
          <w:rFonts w:ascii="Times New Roman" w:hAnsi="Times New Roman"/>
          <w:b w:val="false"/>
          <w:i/>
          <w:color w:val="000000"/>
          <w:sz w:val="22"/>
        </w:rPr>
        <w:t xml:space="preserve">Accessibility. </w:t>
      </w:r>
      <w:r>
        <w:rPr>
          <w:rFonts w:ascii="Times New Roman" w:hAnsi="Times New Roman"/>
          <w:b w:val="false"/>
          <w:i w:val="false"/>
          <w:color w:val="000000"/>
          <w:sz w:val="22"/>
        </w:rPr>
        <w:t>Electronic records will be capable of producing a hard-copy printout of transactions or entries for any specific date or range of dates requested. All records will be available for inspection and copying by the board or its authorized agent.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554.4(3)</w:t>
      </w:r>
      <w:r>
        <w:rPr>
          <w:rFonts w:ascii="Times New Roman" w:hAnsi="Times New Roman"/>
          <w:b w:val="false"/>
          <w:i w:val="false"/>
          <w:color w:val="000000"/>
          <w:sz w:val="22"/>
        </w:rPr>
        <w:t> </w:t>
      </w:r>
      <w:r>
        <w:rPr>
          <w:rFonts w:ascii="Times New Roman" w:hAnsi="Times New Roman"/>
          <w:b w:val="false"/>
          <w:i/>
          <w:color w:val="000000"/>
          <w:sz w:val="22"/>
        </w:rPr>
        <w:t xml:space="preserve">Storage. </w:t>
      </w:r>
      <w:r>
        <w:rPr>
          <w:rFonts w:ascii="Times New Roman" w:hAnsi="Times New Roman"/>
          <w:b w:val="false"/>
          <w:i w:val="false"/>
          <w:color w:val="000000"/>
          <w:sz w:val="22"/>
        </w:rPr>
        <w:t>Original records more than 12 months old may be maintained in a secure remote storage area unless such remote storage is prohibited by federal law or regulation. Records maintained in remote storage locations will be retrievable within three business days of a request by the board or its authorized agent.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9340C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481—554.5</w:t>
      </w:r>
      <w:r>
        <w:rPr>
          <w:rFonts w:ascii="Times New Roman" w:hAnsi="Times New Roman"/>
          <w:b/>
          <w:i w:val="false"/>
          <w:color w:val="000000"/>
          <w:sz w:val="22"/>
        </w:rPr>
        <w:t xml:space="preserve">(155A) </w:t>
      </w:r>
      <w:r>
        <w:rPr>
          <w:rFonts w:ascii="Times New Roman" w:hAnsi="Times New Roman"/>
          <w:b/>
          <w:i w:val="false"/>
          <w:color w:val="000000"/>
          <w:sz w:val="22"/>
        </w:rPr>
        <w:t xml:space="preserve">Facilities. </w:t>
      </w:r>
      <w:r>
        <w:rPr>
          <w:rFonts w:ascii="Times New Roman" w:hAnsi="Times New Roman"/>
          <w:b w:val="false"/>
          <w:i w:val="false"/>
          <w:color w:val="000000"/>
          <w:sz w:val="22"/>
        </w:rPr>
        <w:t>Facilities involved in the distribution of prescription drugs will: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554.5(1)</w:t>
      </w:r>
      <w:r>
        <w:rPr>
          <w:rFonts w:ascii="Times New Roman" w:hAnsi="Times New Roman"/>
          <w:b w:val="false"/>
          <w:i w:val="false"/>
          <w:color w:val="000000"/>
          <w:sz w:val="22"/>
        </w:rPr>
        <w:t> </w:t>
      </w:r>
      <w:r>
        <w:rPr>
          <w:rFonts w:ascii="Times New Roman" w:hAnsi="Times New Roman"/>
          <w:b w:val="false"/>
          <w:i w:val="false"/>
          <w:color w:val="000000"/>
          <w:sz w:val="22"/>
        </w:rPr>
        <w:t>Be of suitable size and construction to facilitate cleaning, maintenance, and proper operations.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554.5(2)</w:t>
      </w:r>
      <w:r>
        <w:rPr>
          <w:rFonts w:ascii="Times New Roman" w:hAnsi="Times New Roman"/>
          <w:b w:val="false"/>
          <w:i w:val="false"/>
          <w:color w:val="000000"/>
          <w:sz w:val="22"/>
        </w:rPr>
        <w:t> </w:t>
      </w:r>
      <w:r>
        <w:rPr>
          <w:rFonts w:ascii="Times New Roman" w:hAnsi="Times New Roman"/>
          <w:b w:val="false"/>
          <w:i w:val="false"/>
          <w:color w:val="000000"/>
          <w:sz w:val="22"/>
        </w:rPr>
        <w:t>Have adequate lighting, ventilation, temperature, sanitation, humidity, space, equipment, and security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554.5(3)</w:t>
      </w:r>
      <w:r>
        <w:rPr>
          <w:rFonts w:ascii="Times New Roman" w:hAnsi="Times New Roman"/>
          <w:b w:val="false"/>
          <w:i w:val="false"/>
          <w:color w:val="000000"/>
          <w:sz w:val="22"/>
        </w:rPr>
        <w:t> </w:t>
      </w:r>
      <w:r>
        <w:rPr>
          <w:rFonts w:ascii="Times New Roman" w:hAnsi="Times New Roman"/>
          <w:b w:val="false"/>
          <w:i w:val="false"/>
          <w:color w:val="000000"/>
          <w:sz w:val="22"/>
        </w:rPr>
        <w:t>Except for returns processors, have a quarantine area for storage of outdated, damaged, unsafe, deteriorated, misbranded, or adulterated prescription drugs; for drugs that are in immediate or sealed outer or sealed secondary containers that have been opened; for drugs that have been identified as being defective or are believed to be defective; and for drugs that do not meet the FDA-approved criteria for the product.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554.5(4)</w:t>
      </w:r>
      <w:r>
        <w:rPr>
          <w:rFonts w:ascii="Times New Roman" w:hAnsi="Times New Roman"/>
          <w:b w:val="false"/>
          <w:i w:val="false"/>
          <w:color w:val="000000"/>
          <w:sz w:val="22"/>
        </w:rPr>
        <w:t> </w:t>
      </w:r>
      <w:r>
        <w:rPr>
          <w:rFonts w:ascii="Times New Roman" w:hAnsi="Times New Roman"/>
          <w:b w:val="false"/>
          <w:i w:val="false"/>
          <w:color w:val="000000"/>
          <w:sz w:val="22"/>
        </w:rPr>
        <w:t>Be secure from unauthorized entry, facilitated by an alarm and security system, including video surveillance.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9340C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481—554.6</w:t>
      </w:r>
      <w:r>
        <w:rPr>
          <w:rFonts w:ascii="Times New Roman" w:hAnsi="Times New Roman"/>
          <w:b/>
          <w:i w:val="false"/>
          <w:color w:val="000000"/>
          <w:sz w:val="22"/>
        </w:rPr>
        <w:t xml:space="preserve">(155A) </w:t>
      </w:r>
      <w:r>
        <w:rPr>
          <w:rFonts w:ascii="Times New Roman" w:hAnsi="Times New Roman"/>
          <w:b/>
          <w:i w:val="false"/>
          <w:color w:val="000000"/>
          <w:sz w:val="22"/>
        </w:rPr>
        <w:t xml:space="preserve">Standards for outsourcing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554.6(1)</w:t>
      </w:r>
      <w:r>
        <w:rPr>
          <w:rFonts w:ascii="Times New Roman" w:hAnsi="Times New Roman"/>
          <w:b w:val="false"/>
          <w:i w:val="false"/>
          <w:color w:val="000000"/>
          <w:sz w:val="22"/>
        </w:rPr>
        <w:t> </w:t>
      </w:r>
      <w:r>
        <w:rPr>
          <w:rFonts w:ascii="Times New Roman" w:hAnsi="Times New Roman"/>
          <w:b w:val="false"/>
          <w:i/>
          <w:color w:val="000000"/>
          <w:sz w:val="22"/>
        </w:rPr>
        <w:t xml:space="preserve">Preparation standards. </w:t>
      </w:r>
      <w:r>
        <w:rPr>
          <w:rFonts w:ascii="Times New Roman" w:hAnsi="Times New Roman"/>
          <w:b w:val="false"/>
          <w:i w:val="false"/>
          <w:color w:val="000000"/>
          <w:sz w:val="22"/>
        </w:rPr>
        <w:t xml:space="preserve">Compounded preparations will be prepared in accordance with the standards of CGMP in accordance with </w:t>
      </w:r>
      <w:r>
        <w:rPr>
          <w:rFonts w:ascii="Times New Roman" w:hAnsi="Times New Roman"/>
          <w:b w:val="false"/>
          <w:i w:val="false"/>
          <w:color w:val="000000"/>
          <w:sz w:val="22"/>
        </w:rPr>
        <w:t>21 CFR Part 210</w:t>
      </w:r>
      <w:r>
        <w:rPr>
          <w:rFonts w:ascii="Times New Roman" w:hAnsi="Times New Roman"/>
          <w:b w:val="false"/>
          <w:i w:val="false"/>
          <w:color w:val="000000"/>
          <w:sz w:val="22"/>
        </w:rPr>
        <w:t xml:space="preserve"> as amended on December 10, 2009, and Part 211 as amended on November 18, 2016.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554.6(2)</w:t>
      </w:r>
      <w:r>
        <w:rPr>
          <w:rFonts w:ascii="Times New Roman" w:hAnsi="Times New Roman"/>
          <w:b w:val="false"/>
          <w:i w:val="false"/>
          <w:color w:val="000000"/>
          <w:sz w:val="22"/>
        </w:rPr>
        <w:t> </w:t>
      </w:r>
      <w:r>
        <w:rPr>
          <w:rFonts w:ascii="Times New Roman" w:hAnsi="Times New Roman"/>
          <w:b w:val="false"/>
          <w:i/>
          <w:color w:val="000000"/>
          <w:sz w:val="22"/>
        </w:rPr>
        <w:t xml:space="preserve">Labeling standards. </w:t>
      </w:r>
      <w:r>
        <w:rPr>
          <w:rFonts w:ascii="Times New Roman" w:hAnsi="Times New Roman"/>
          <w:b w:val="false"/>
          <w:i w:val="false"/>
          <w:color w:val="000000"/>
          <w:sz w:val="22"/>
        </w:rPr>
        <w:t>Labels for compounded preparations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statement “This is a compounded drug” or a reasonable comparable alternative statement that prominently identifies the drug as a compounded preparation.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statement “Not for distribution or resale.”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outsourcing facility that compounded the preparation.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established name, strength, dosage form, and quantity of the preparation.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date the preparation was compounded.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beyond-use date of the preparation.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Storage and handling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lot or batch identification or control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national drug code number,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following additional information, which can be included on the labeling of a container from which individual units of the preparation are removed for administration or dispensing: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Directions for use, including, as appropriate, dosage and 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list of the active and inactive ingredients, identified by established name and quantity or proportion of each ingredient;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FDA contact information (</w:t>
      </w:r>
      <w:hyperlink r:id="rId6">
        <w:r>
          <w:rPr>
            <w:rStyle w:val="Hyperlink"/>
            <w:rFonts w:ascii="Times New Roman" w:hAnsi="Times New Roman"/>
            <w:b w:val="false"/>
            <w:i w:val="false"/>
            <w:color w:val="000000"/>
            <w:sz w:val="22"/>
            <w:u w:val="single"/>
          </w:rPr>
          <w:t>www.fda.gov/medwatch</w:t>
        </w:r>
      </w:hyperlink>
      <w:r>
        <w:rPr>
          <w:rFonts w:ascii="Times New Roman" w:hAnsi="Times New Roman"/>
          <w:b w:val="false"/>
          <w:i w:val="false"/>
          <w:color w:val="000000"/>
          <w:sz w:val="22"/>
        </w:rPr>
        <w:t xml:space="preserve"> and 1.800.FDA.1088 or successor website or telephone number) to facilitate adverse event reporting;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name of the practitioner or pharmacy to which the preparation is distributed.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9340C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481—554.7</w:t>
      </w:r>
      <w:r>
        <w:rPr>
          <w:rFonts w:ascii="Times New Roman" w:hAnsi="Times New Roman"/>
          <w:b/>
          <w:i w:val="false"/>
          <w:color w:val="000000"/>
          <w:sz w:val="22"/>
        </w:rPr>
        <w:t xml:space="preserve">(155A) </w:t>
      </w:r>
      <w:r>
        <w:rPr>
          <w:rFonts w:ascii="Times New Roman" w:hAnsi="Times New Roman"/>
          <w:b/>
          <w:i w:val="false"/>
          <w:color w:val="000000"/>
          <w:sz w:val="22"/>
        </w:rPr>
        <w:t xml:space="preserve">Standards for limited distributors.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554.7(1)</w:t>
      </w:r>
      <w:r>
        <w:rPr>
          <w:rFonts w:ascii="Times New Roman" w:hAnsi="Times New Roman"/>
          <w:b w:val="false"/>
          <w:i w:val="false"/>
          <w:color w:val="000000"/>
          <w:sz w:val="22"/>
        </w:rPr>
        <w:t> </w:t>
      </w:r>
      <w:r>
        <w:rPr>
          <w:rFonts w:ascii="Times New Roman" w:hAnsi="Times New Roman"/>
          <w:b w:val="false"/>
          <w:i/>
          <w:color w:val="000000"/>
          <w:sz w:val="22"/>
        </w:rPr>
        <w:t xml:space="preserve">Examination of materials. </w:t>
      </w:r>
      <w:r>
        <w:rPr>
          <w:rFonts w:ascii="Times New Roman" w:hAnsi="Times New Roman"/>
          <w:b w:val="false"/>
          <w:i w:val="false"/>
          <w:color w:val="000000"/>
          <w:sz w:val="22"/>
        </w:rPr>
        <w:t>Limited distributors will ensure, upon receipt and prior to distribution, that a drug or device is suitable for distribution.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554.7(2)</w:t>
      </w:r>
      <w:r>
        <w:rPr>
          <w:rFonts w:ascii="Times New Roman" w:hAnsi="Times New Roman"/>
          <w:b w:val="false"/>
          <w:i w:val="false"/>
          <w:color w:val="000000"/>
          <w:sz w:val="22"/>
        </w:rPr>
        <w:t> </w:t>
      </w:r>
      <w:r>
        <w:rPr>
          <w:rFonts w:ascii="Times New Roman" w:hAnsi="Times New Roman"/>
          <w:b w:val="false"/>
          <w:i/>
          <w:color w:val="000000"/>
          <w:sz w:val="22"/>
        </w:rPr>
        <w:t xml:space="preserve">Verification. </w:t>
      </w:r>
      <w:r>
        <w:rPr>
          <w:rFonts w:ascii="Times New Roman" w:hAnsi="Times New Roman"/>
          <w:b w:val="false"/>
          <w:i w:val="false"/>
          <w:color w:val="000000"/>
          <w:sz w:val="22"/>
        </w:rPr>
        <w:t>Orders will be verified, prior to distribution, to ensure that the drug or device being distributed matches the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554.7(3)</w:t>
      </w:r>
      <w:r>
        <w:rPr>
          <w:rFonts w:ascii="Times New Roman" w:hAnsi="Times New Roman"/>
          <w:b w:val="false"/>
          <w:i w:val="false"/>
          <w:color w:val="000000"/>
          <w:sz w:val="22"/>
        </w:rPr>
        <w:t> </w:t>
      </w:r>
      <w:r>
        <w:rPr>
          <w:rFonts w:ascii="Times New Roman" w:hAnsi="Times New Roman"/>
          <w:b w:val="false"/>
          <w:i/>
          <w:color w:val="000000"/>
          <w:sz w:val="22"/>
        </w:rPr>
        <w:t xml:space="preserve">Instructions for use. </w:t>
      </w:r>
      <w:r>
        <w:rPr>
          <w:rFonts w:ascii="Times New Roman" w:hAnsi="Times New Roman"/>
          <w:b w:val="false"/>
          <w:i w:val="false"/>
          <w:color w:val="000000"/>
          <w:sz w:val="22"/>
        </w:rPr>
        <w:t>When a drug or device is distributed pursuant to a prescription order, the patient or patient’s caregiver will be provided adequate instructions for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554.7(4)</w:t>
      </w:r>
      <w:r>
        <w:rPr>
          <w:rFonts w:ascii="Times New Roman" w:hAnsi="Times New Roman"/>
          <w:b w:val="false"/>
          <w:i w:val="false"/>
          <w:color w:val="000000"/>
          <w:sz w:val="22"/>
        </w:rPr>
        <w:t> </w:t>
      </w:r>
      <w:r>
        <w:rPr>
          <w:rFonts w:ascii="Times New Roman" w:hAnsi="Times New Roman"/>
          <w:b w:val="false"/>
          <w:i/>
          <w:color w:val="000000"/>
          <w:sz w:val="22"/>
        </w:rPr>
        <w:t xml:space="preserve">Transaction records. </w:t>
      </w:r>
      <w:r>
        <w:rPr>
          <w:rFonts w:ascii="Times New Roman" w:hAnsi="Times New Roman"/>
          <w:b w:val="false"/>
          <w:i w:val="false"/>
          <w:color w:val="000000"/>
          <w:sz w:val="22"/>
        </w:rPr>
        <w:t>Each party to a transaction for the transfer of prescription drugs or devices will maintain documentation that includes the: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Source of the drugs or devices, including the name and address of the seller and the address of the location from which the drugs or devices were distributed.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Identity and quantity of the drugs or devices distributed. Medical gas prescriptions are valid for no more than 13 months.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Date of distribution.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Identity of the purchaser, including the name and address of the purchaser and the address of the location to which the drugs or devices were distributed.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554.7(5)</w:t>
      </w:r>
      <w:r>
        <w:rPr>
          <w:rFonts w:ascii="Times New Roman" w:hAnsi="Times New Roman"/>
          <w:b w:val="false"/>
          <w:i w:val="false"/>
          <w:color w:val="000000"/>
          <w:sz w:val="22"/>
        </w:rPr>
        <w:t> </w:t>
      </w:r>
      <w:r>
        <w:rPr>
          <w:rFonts w:ascii="Times New Roman" w:hAnsi="Times New Roman"/>
          <w:b w:val="false"/>
          <w:i/>
          <w:color w:val="000000"/>
          <w:sz w:val="22"/>
        </w:rPr>
        <w:t xml:space="preserve">Prescription order records. </w:t>
      </w:r>
      <w:r>
        <w:rPr>
          <w:rFonts w:ascii="Times New Roman" w:hAnsi="Times New Roman"/>
          <w:b w:val="false"/>
          <w:i w:val="false"/>
          <w:color w:val="000000"/>
          <w:sz w:val="22"/>
        </w:rPr>
        <w:t>Each prescription for which a prescription drug or device is distributed will be maintained in the original format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554.7(6)</w:t>
      </w:r>
      <w:r>
        <w:rPr>
          <w:rFonts w:ascii="Times New Roman" w:hAnsi="Times New Roman"/>
          <w:b w:val="false"/>
          <w:i w:val="false"/>
          <w:color w:val="000000"/>
          <w:sz w:val="22"/>
        </w:rPr>
        <w:t> </w:t>
      </w:r>
      <w:r>
        <w:rPr>
          <w:rFonts w:ascii="Times New Roman" w:hAnsi="Times New Roman"/>
          <w:b w:val="false"/>
          <w:i/>
          <w:color w:val="000000"/>
          <w:sz w:val="22"/>
        </w:rPr>
        <w:t xml:space="preserve">Patient confidentiality. </w:t>
      </w:r>
      <w:r>
        <w:rPr>
          <w:rFonts w:ascii="Times New Roman" w:hAnsi="Times New Roman"/>
          <w:b w:val="false"/>
          <w:i w:val="false"/>
          <w:color w:val="000000"/>
          <w:sz w:val="22"/>
        </w:rPr>
        <w:t>Any patient information in the possession of a limited distributor will be maintained in a secure and confidential manner.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9340C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7">
        <w:r>
          <w:rPr>
            <w:rStyle w:val="Hyperlink"/>
            <w:rFonts w:ascii="Times New Roman" w:hAnsi="Times New Roman"/>
            <w:b w:val="false"/>
            <w:i w:val="false"/>
            <w:color w:val="000000"/>
            <w:sz w:val="22"/>
          </w:rPr>
          <w:t>155A.13C</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155A.17</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155A.17A</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155A.19</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155A.24</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155A.42.</w:t>
        </w:r>
      </w:hyperlink>
    </w:p>
    <w:p>
      <w:pPr>
        <w:spacing w:before="0" w:after="0"/>
        <w:ind w:left="120"/>
        <w:jc w:val="center"/>
      </w:pPr>
      <w:r>
        <w:rPr>
          <w:rFonts w:ascii="Times New Roman" w:hAnsi="Times New Roman"/>
          <w:b w:val="false"/>
          <w:i w:val="false"/>
          <w:color w:val="000000"/>
          <w:sz w:val="21"/>
        </w:rPr>
        <w:t>[Filed ARC 9340C</w:t>
      </w:r>
      <w:r>
        <w:rPr>
          <w:rFonts w:ascii="Times New Roman" w:hAnsi="Times New Roman"/>
          <w:b w:val="false"/>
          <w:i w:val="false"/>
          <w:color w:val="000000"/>
          <w:sz w:val="21"/>
        </w:rPr>
        <w:t xml:space="preserve"> (Notice ARC 8421C, IAB 11/27/24)</w:t>
      </w:r>
      <w:r>
        <w:rPr>
          <w:rFonts w:ascii="Times New Roman" w:hAnsi="Times New Roman"/>
          <w:b w:val="false"/>
          <w:i w:val="false"/>
          <w:color w:val="000000"/>
          <w:sz w:val="21"/>
        </w:rPr>
        <w:t>, IAB 6/11/25, effective 7/16/25]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81.550.pdf" Type="http://schemas.openxmlformats.org/officeDocument/2006/relationships/hyperlink" Id="rId5"/>
    <Relationship TargetMode="External" Target="http://www.fda.gov/medwatch" Type="http://schemas.openxmlformats.org/officeDocument/2006/relationships/hyperlink" Id="rId6"/>
    <Relationship TargetMode="External" Target="https://www.legis.iowa.gov/docs/ico/chapter/155A.13C.pdf" Type="http://schemas.openxmlformats.org/officeDocument/2006/relationships/hyperlink" Id="rId7"/>
    <Relationship TargetMode="External" Target="https://www.legis.iowa.gov/docs/ico/chapter/155A.17.pdf" Type="http://schemas.openxmlformats.org/officeDocument/2006/relationships/hyperlink" Id="rId8"/>
    <Relationship TargetMode="External" Target="https://www.legis.iowa.gov/docs/ico/chapter/155A.17A.pdf" Type="http://schemas.openxmlformats.org/officeDocument/2006/relationships/hyperlink" Id="rId9"/>
    <Relationship TargetMode="External" Target="https://www.legis.iowa.gov/docs/ico/chapter/155A.19.pdf" Type="http://schemas.openxmlformats.org/officeDocument/2006/relationships/hyperlink" Id="rId10"/>
    <Relationship TargetMode="External" Target="https://www.legis.iowa.gov/docs/ico/chapter/155A.24.pdf" Type="http://schemas.openxmlformats.org/officeDocument/2006/relationships/hyperlink" Id="rId11"/>
    <Relationship TargetMode="External" Target="https://www.legis.iowa.gov/docs/ico/chapter/155A.42.pdf" Type="http://schemas.openxmlformats.org/officeDocument/2006/relationships/hyperlink"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