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550</w:t>
      </w:r>
    </w:p>
    <w:p>
      <w:pPr>
        <w:spacing w:before="0" w:after="0"/>
        <w:ind w:left="120"/>
        <w:jc w:val="center"/>
      </w:pPr>
      <w:r>
        <w:rPr>
          <w:rFonts w:ascii="Times New Roman" w:hAnsi="Times New Roman"/>
          <w:b w:val="false"/>
          <w:i w:val="false"/>
          <w:color w:val="000000"/>
          <w:sz w:val="21"/>
        </w:rPr>
        <w:t>DEFINITIONS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7/16/30</w:t>
      </w:r>
    </w:p>
    <w:p>
      <w:pPr>
        <w:spacing w:before="0" w:after="0"/>
        <w:ind w:left="120"/>
        <w:jc w:val="both"/>
      </w:pPr>
      <w:r>
        <w:rPr>
          <w:rFonts w:ascii="Times New Roman" w:hAnsi="Times New Roman"/>
          <w:b/>
          <w:i w:val="false"/>
          <w:color w:val="000000"/>
          <w:sz w:val="22"/>
        </w:rPr>
        <w:t>481—550.1</w:t>
      </w:r>
      <w:r>
        <w:rPr>
          <w:rFonts w:ascii="Times New Roman" w:hAnsi="Times New Roman"/>
          <w:b/>
          <w:i w:val="false"/>
          <w:color w:val="000000"/>
          <w:sz w:val="22"/>
        </w:rPr>
        <w:t xml:space="preserve">(124,147,155A,272C)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w:t>
      </w:r>
      <w:hyperlink r:id="rId5">
        <w:r>
          <w:rPr>
            <w:rStyle w:val="Hyperlink"/>
            <w:rFonts w:ascii="Times New Roman" w:hAnsi="Times New Roman"/>
            <w:b w:val="false"/>
            <w:i w:val="false"/>
            <w:color w:val="000000"/>
            <w:sz w:val="22"/>
          </w:rPr>
          <w:t>481—Chapter 550</w:t>
        </w:r>
      </w:hyperlink>
      <w:r>
        <w:rPr>
          <w:rFonts w:ascii="Times New Roman" w:hAnsi="Times New Roman"/>
          <w:b w:val="false"/>
          <w:i w:val="false"/>
          <w:color w:val="000000"/>
          <w:sz w:val="22"/>
        </w:rPr>
        <w:t xml:space="preserve"> through Chapter </w:t>
      </w:r>
      <w:hyperlink r:id="rId6">
        <w:r>
          <w:rPr>
            <w:rStyle w:val="Hyperlink"/>
            <w:rFonts w:ascii="Times New Roman" w:hAnsi="Times New Roman"/>
            <w:b w:val="false"/>
            <w:i w:val="false"/>
            <w:color w:val="000000"/>
            <w:sz w:val="22"/>
          </w:rPr>
          <w:t>557</w:t>
        </w:r>
      </w:hyperlink>
      <w:r>
        <w:rPr>
          <w:rFonts w:ascii="Times New Roman" w:hAnsi="Times New Roman"/>
          <w:b w:val="false"/>
          <w:i w:val="false"/>
          <w:color w:val="000000"/>
          <w:sz w:val="22"/>
        </w:rPr>
        <w:t xml:space="preserve">, and in addition to the definitions found in Iowa Code sections </w:t>
      </w:r>
      <w:hyperlink r:id="rId7">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“3PL” </w:t>
      </w:r>
      <w:r>
        <w:rPr>
          <w:rFonts w:ascii="Times New Roman" w:hAnsi="Times New Roman"/>
          <w:b w:val="false"/>
          <w:i w:val="false"/>
          <w:color w:val="000000"/>
          <w:sz w:val="22"/>
        </w:rPr>
        <w:t xml:space="preserve">means third-party logistics.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“ACPE” </w:t>
      </w:r>
      <w:r>
        <w:rPr>
          <w:rFonts w:ascii="Times New Roman" w:hAnsi="Times New Roman"/>
          <w:b w:val="false"/>
          <w:i w:val="false"/>
          <w:color w:val="000000"/>
          <w:sz w:val="22"/>
        </w:rPr>
        <w:t>means the Accreditation Council for Pharmacy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“AMDS” </w:t>
      </w:r>
      <w:r>
        <w:rPr>
          <w:rFonts w:ascii="Times New Roman" w:hAnsi="Times New Roman"/>
          <w:b w:val="false"/>
          <w:i w:val="false"/>
          <w:color w:val="000000"/>
          <w:sz w:val="22"/>
        </w:rPr>
        <w:t>means an automated medication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pharmacy technician”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“certified technician” </w:t>
      </w:r>
      <w:r>
        <w:rPr>
          <w:rFonts w:ascii="Times New Roman" w:hAnsi="Times New Roman"/>
          <w:b w:val="false"/>
          <w:i w:val="false"/>
          <w:color w:val="000000"/>
          <w:sz w:val="22"/>
        </w:rPr>
        <w:t>means an individual who holds a valid current national certification and who has registered with the board as a certified pharmacy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the United States Code of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“CGMP” </w:t>
      </w:r>
      <w:r>
        <w:rPr>
          <w:rFonts w:ascii="Times New Roman" w:hAnsi="Times New Roman"/>
          <w:b w:val="false"/>
          <w:i w:val="false"/>
          <w:color w:val="000000"/>
          <w:sz w:val="22"/>
        </w:rPr>
        <w:t>means current good manufacturing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w:t>
      </w:r>
      <w:r>
        <w:rPr>
          <w:rFonts w:ascii="Times New Roman" w:hAnsi="Times New Roman"/>
          <w:b w:val="false"/>
          <w:i w:val="false"/>
          <w:color w:val="000000"/>
          <w:sz w:val="22"/>
        </w:rPr>
        <w:t>occurs when the owner listed on the pharmacy’s most recent application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a structured educational activity that is applicable to the practice of pharmacy, that promotes problem solving and critical thinking, and that is designed or intended to support the continuing development of pharmacists while maintaining and enhancing their competence in the practice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“CSA” </w:t>
      </w:r>
      <w:r>
        <w:rPr>
          <w:rFonts w:ascii="Times New Roman" w:hAnsi="Times New Roman"/>
          <w:b w:val="false"/>
          <w:i w:val="false"/>
          <w:color w:val="000000"/>
          <w:sz w:val="22"/>
        </w:rPr>
        <w:t>means the Iowa controlled substances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 </w:t>
      </w:r>
      <w:r>
        <w:rPr>
          <w:rFonts w:ascii="Times New Roman" w:hAnsi="Times New Roman"/>
          <w:b w:val="false"/>
          <w:i w:val="false"/>
          <w:color w:val="000000"/>
          <w:sz w:val="22"/>
        </w:rPr>
        <w:t>means the United States Drug Enforcement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“DSCSA” </w:t>
      </w:r>
      <w:r>
        <w:rPr>
          <w:rFonts w:ascii="Times New Roman" w:hAnsi="Times New Roman"/>
          <w:b w:val="false"/>
          <w:i w:val="false"/>
          <w:color w:val="000000"/>
          <w:sz w:val="22"/>
        </w:rPr>
        <w:t xml:space="preserve">means the federal Drug Supply Chain Security Act, Part II of the Drug Quality and Security Act, as codified in </w:t>
      </w:r>
      <w:r>
        <w:rPr>
          <w:rFonts w:ascii="Times New Roman" w:hAnsi="Times New Roman"/>
          <w:b w:val="false"/>
          <w:i w:val="false"/>
          <w:color w:val="000000"/>
          <w:sz w:val="22"/>
        </w:rPr>
        <w:t>21 U.S.C. §360e</w:t>
      </w:r>
      <w:r>
        <w:rPr>
          <w:rFonts w:ascii="Times New Roman" w:hAnsi="Times New Roman"/>
          <w:b w:val="false"/>
          <w:i w:val="false"/>
          <w:color w:val="000000"/>
          <w:sz w:val="22"/>
        </w:rPr>
        <w:t>ee-1 and 360eee-2 as created November 27,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program” </w:t>
      </w:r>
      <w:r>
        <w:rPr>
          <w:rFonts w:ascii="Times New Roman" w:hAnsi="Times New Roman"/>
          <w:b w:val="false"/>
          <w:i w:val="false"/>
          <w:color w:val="000000"/>
          <w:sz w:val="22"/>
        </w:rPr>
        <w:t>means an emergency medical services program that is licensed with the bureau of emergency and trauma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“FDA” </w:t>
      </w:r>
      <w:r>
        <w:rPr>
          <w:rFonts w:ascii="Times New Roman" w:hAnsi="Times New Roman"/>
          <w:b w:val="false"/>
          <w:i w:val="false"/>
          <w:color w:val="000000"/>
          <w:sz w:val="22"/>
        </w:rPr>
        <w:t>means the United States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“FPGEC” </w:t>
      </w:r>
      <w:r>
        <w:rPr>
          <w:rFonts w:ascii="Times New Roman" w:hAnsi="Times New Roman"/>
          <w:b w:val="false"/>
          <w:i w:val="false"/>
          <w:color w:val="000000"/>
          <w:sz w:val="22"/>
        </w:rPr>
        <w:t xml:space="preserve">means the Foreign Pharmacy Graduate Examination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“NABP” </w:t>
      </w:r>
      <w:r>
        <w:rPr>
          <w:rFonts w:ascii="Times New Roman" w:hAnsi="Times New Roman"/>
          <w:b w:val="false"/>
          <w:i w:val="false"/>
          <w:color w:val="000000"/>
          <w:sz w:val="22"/>
        </w:rPr>
        <w:t xml:space="preserve">means the National Association of Boards of Pharmacy.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“NAPLEX” </w:t>
      </w:r>
      <w:r>
        <w:rPr>
          <w:rFonts w:ascii="Times New Roman" w:hAnsi="Times New Roman"/>
          <w:b w:val="false"/>
          <w:i w:val="false"/>
          <w:color w:val="000000"/>
          <w:sz w:val="22"/>
        </w:rPr>
        <w:t>means the North American Pharmacist Licensure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pharmacy technician certification” </w:t>
      </w:r>
      <w:r>
        <w:rPr>
          <w:rFonts w:ascii="Times New Roman" w:hAnsi="Times New Roman"/>
          <w:b w:val="false"/>
          <w:i w:val="false"/>
          <w:color w:val="000000"/>
          <w:sz w:val="22"/>
        </w:rPr>
        <w:t>means documentation of the successful completion of a program and examination, including renewal, for the certification of pharmacy technicians that is accredited by the National Commission for Certifying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“NCDQS” </w:t>
      </w:r>
      <w:r>
        <w:rPr>
          <w:rFonts w:ascii="Times New Roman" w:hAnsi="Times New Roman"/>
          <w:b w:val="false"/>
          <w:i w:val="false"/>
          <w:color w:val="000000"/>
          <w:sz w:val="22"/>
        </w:rPr>
        <w:t>means the National Coalition for Drug Quality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“NDC” </w:t>
      </w:r>
      <w:r>
        <w:rPr>
          <w:rFonts w:ascii="Times New Roman" w:hAnsi="Times New Roman"/>
          <w:b w:val="false"/>
          <w:i w:val="false"/>
          <w:color w:val="000000"/>
          <w:sz w:val="22"/>
        </w:rPr>
        <w:t>means National Drug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use” </w:t>
      </w:r>
      <w:r>
        <w:rPr>
          <w:rFonts w:ascii="Times New Roman" w:hAnsi="Times New Roman"/>
          <w:b w:val="false"/>
          <w:i w:val="false"/>
          <w:color w:val="000000"/>
          <w:sz w:val="22"/>
        </w:rPr>
        <w:t>means the utilization of a compounded preparation from an outsourcing facility for direct patient administration by a health care practitioner in the normal course of professional practice or for dispensing by a health care practitioner or a pharmacy pursuant to a patient-specific prescription for patient self-administration.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“PMP” </w:t>
      </w:r>
      <w:r>
        <w:rPr>
          <w:rFonts w:ascii="Times New Roman" w:hAnsi="Times New Roman"/>
          <w:b w:val="false"/>
          <w:i w:val="false"/>
          <w:color w:val="000000"/>
          <w:sz w:val="22"/>
        </w:rPr>
        <w:t>means the Iowa prescription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“Preceptor” </w:t>
      </w:r>
      <w:r>
        <w:rPr>
          <w:rFonts w:ascii="Times New Roman" w:hAnsi="Times New Roman"/>
          <w:b w:val="false"/>
          <w:i w:val="false"/>
          <w:color w:val="000000"/>
          <w:sz w:val="22"/>
        </w:rPr>
        <w:t>means an Iowa-licensed pharmacist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“U.S.C.” </w:t>
      </w:r>
      <w:r>
        <w:rPr>
          <w:rFonts w:ascii="Times New Roman" w:hAnsi="Times New Roman"/>
          <w:b w:val="false"/>
          <w:i w:val="false"/>
          <w:color w:val="000000"/>
          <w:sz w:val="22"/>
        </w:rPr>
        <w:t>means the United States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“USP” </w:t>
      </w:r>
      <w:r>
        <w:rPr>
          <w:rFonts w:ascii="Times New Roman" w:hAnsi="Times New Roman"/>
          <w:b w:val="false"/>
          <w:i w:val="false"/>
          <w:color w:val="000000"/>
          <w:sz w:val="22"/>
        </w:rPr>
        <w:t>means the United States Pharmacopoeia.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124.302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147.76</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chapters </w:t>
      </w:r>
      <w:hyperlink r:id="rId12">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9337C</w:t>
      </w:r>
      <w:r>
        <w:rPr>
          <w:rFonts w:ascii="Times New Roman" w:hAnsi="Times New Roman"/>
          <w:b w:val="false"/>
          <w:i w:val="false"/>
          <w:color w:val="000000"/>
          <w:sz w:val="21"/>
        </w:rPr>
        <w:t xml:space="preserve"> (Notice ARC 8420C, IAB 11/27/24)</w:t>
      </w:r>
      <w:r>
        <w:rPr>
          <w:rFonts w:ascii="Times New Roman" w:hAnsi="Times New Roman"/>
          <w:b w:val="false"/>
          <w:i w:val="false"/>
          <w:color w:val="000000"/>
          <w:sz w:val="21"/>
        </w:rPr>
        <w:t>, IAB 6/11/25, effective 7/16/25]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0.pdf" Type="http://schemas.openxmlformats.org/officeDocument/2006/relationships/hyperlink" Id="rId5"/>
    <Relationship TargetMode="External" Target="https://www.legis.iowa.gov/docs/iac/chapter/481.557.pdf" Type="http://schemas.openxmlformats.org/officeDocument/2006/relationships/hyperlink" Id="rId6"/>
    <Relationship TargetMode="External" Target="https://www.legis.iowa.gov/docs/ico/chapter/124.101.pdf" Type="http://schemas.openxmlformats.org/officeDocument/2006/relationships/hyperlink" Id="rId7"/>
    <Relationship TargetMode="External" Target="https://www.legis.iowa.gov/docs/ico/chapter/155A.3.pdf" Type="http://schemas.openxmlformats.org/officeDocument/2006/relationships/hyperlink" Id="rId8"/>
    <Relationship TargetMode="External" Target="https://www.legis.iowa.gov/docs/ico/chapter/124.302.pdf" Type="http://schemas.openxmlformats.org/officeDocument/2006/relationships/hyperlink" Id="rId9"/>
    <Relationship TargetMode="External" Target="https://www.legis.iowa.gov/docs/ico/chapter/147.76.pdf" Type="http://schemas.openxmlformats.org/officeDocument/2006/relationships/hyperlink" Id="rId10"/>
    <Relationship TargetMode="External" Target="https://www.legis.iowa.gov/docs/ico/chapter/147.80.pdf" Type="http://schemas.openxmlformats.org/officeDocument/2006/relationships/hyperlink" Id="rId11"/>
    <Relationship TargetMode="External" Target="https://www.legis.iowa.gov/docs/ico/chapter/155A.pdf" Type="http://schemas.openxmlformats.org/officeDocument/2006/relationships/hyperlink" Id="rId12"/>
    <Relationship TargetMode="External" Target="https://www.legis.iowa.gov/docs/ico/chapter/272C.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