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475</w:t>
      </w:r>
    </w:p>
    <w:p>
      <w:pPr>
        <w:spacing w:before="0" w:after="0"/>
        <w:ind w:left="120"/>
        <w:jc w:val="center"/>
      </w:pPr>
      <w:r>
        <w:rPr>
          <w:rFonts w:ascii="Times New Roman" w:hAnsi="Times New Roman"/>
          <w:b w:val="false"/>
          <w:i w:val="false"/>
          <w:color w:val="000000"/>
          <w:sz w:val="21"/>
        </w:rPr>
        <w:t>ASBESTOS REMOVAL AND ENCAPSULATION</w:t>
      </w:r>
    </w:p>
    <w:p>
      <w:pPr>
        <w:spacing w:before="0" w:after="0"/>
        <w:ind w:left="120"/>
        <w:jc w:val="center"/>
      </w:pPr>
      <w:r>
        <w:rPr>
          <w:rFonts w:ascii="Times New Roman" w:hAnsi="Times New Roman"/>
          <w:b w:val="false"/>
          <w:i w:val="false"/>
          <w:color w:val="000000"/>
          <w:sz w:val="14"/>
        </w:rPr>
        <w:t>[Prior to 10/18/00, see 875—Chs 81 and 82]</w:t>
      </w:r>
    </w:p>
    <w:p>
      <w:pPr>
        <w:spacing w:before="0" w:after="0"/>
        <w:ind w:left="120"/>
        <w:jc w:val="center"/>
      </w:pPr>
      <w:r>
        <w:rPr>
          <w:rFonts w:ascii="Times New Roman" w:hAnsi="Times New Roman"/>
          <w:b w:val="false"/>
          <w:i w:val="false"/>
          <w:color w:val="000000"/>
          <w:sz w:val="14"/>
        </w:rPr>
        <w:t>[Prior to 7/9/25, see Labor Services Division[875] Ch 155]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481—475.1</w:t>
      </w:r>
      <w:r>
        <w:rPr>
          <w:rFonts w:ascii="Times New Roman" w:hAnsi="Times New Roman"/>
          <w:b/>
          <w:i w:val="false"/>
          <w:color w:val="000000"/>
          <w:sz w:val="22"/>
        </w:rPr>
        <w:t xml:space="preserve">(88B)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partnership, firm, association, corporation, sole proprietorship, or other business concern. A business entity that uses its own employees in removing or encapsulating asbestos for the purpose of renovating, maintaining or repairing its own facilities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w:t>
      </w:r>
      <w:r>
        <w:rPr>
          <w:rFonts w:ascii="Times New Roman" w:hAnsi="Times New Roman"/>
          <w:b w:val="false"/>
          <w:i w:val="false"/>
          <w:color w:val="000000"/>
          <w:sz w:val="22"/>
        </w:rPr>
        <w:t>means a person who supervises workers on asbestos projects or a person who enters into contracts to perform asbestos projects and personally completes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“Friable asbestos material” </w:t>
      </w:r>
      <w:r>
        <w:rPr>
          <w:rFonts w:ascii="Times New Roman" w:hAnsi="Times New Roman"/>
          <w:b w:val="false"/>
          <w:i w:val="false"/>
          <w:color w:val="000000"/>
          <w:sz w:val="22"/>
        </w:rPr>
        <w:t>means any material containing more than 1 percent asbestos by weight and that can be crumbled, pulverized, or reduced to powder by hand pressure when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person who inspects for asbestos-containing building materials in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 authorization issued by the department permitting an individual to be employed as a worker, contractor/supervisor, inspector, management planner, or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planner” </w:t>
      </w:r>
      <w:r>
        <w:rPr>
          <w:rFonts w:ascii="Times New Roman" w:hAnsi="Times New Roman"/>
          <w:b w:val="false"/>
          <w:i w:val="false"/>
          <w:color w:val="000000"/>
          <w:sz w:val="22"/>
        </w:rPr>
        <w:t>means a person who prepares asbestos management plans for a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authorization issued by the department permitting a business entity to remove or encapsulate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designer” </w:t>
      </w:r>
      <w:r>
        <w:rPr>
          <w:rFonts w:ascii="Times New Roman" w:hAnsi="Times New Roman"/>
          <w:b w:val="false"/>
          <w:i w:val="false"/>
          <w:color w:val="000000"/>
          <w:sz w:val="22"/>
        </w:rPr>
        <w:t>means a person who designs asbestos response or maintenance projects for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“Worker” </w:t>
      </w:r>
      <w:r>
        <w:rPr>
          <w:rFonts w:ascii="Times New Roman" w:hAnsi="Times New Roman"/>
          <w:b w:val="false"/>
          <w:i w:val="false"/>
          <w:color w:val="000000"/>
          <w:sz w:val="22"/>
        </w:rPr>
        <w:t>means a person who performs response or maintenance activities on one or more asbestos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 through Friday including holidays that fall on Monday through Friday. The first working day shall be the date of actual delivery or the postmark date, whichever is earlier. However, documents with Saturday or Sunday postmark dates will be treated as though postmarked on the following Monday.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481—475.2</w:t>
      </w:r>
      <w:r>
        <w:rPr>
          <w:rFonts w:ascii="Times New Roman" w:hAnsi="Times New Roman"/>
          <w:b/>
          <w:i w:val="false"/>
          <w:color w:val="000000"/>
          <w:sz w:val="22"/>
        </w:rPr>
        <w:t xml:space="preserve">(88B) </w:t>
      </w:r>
      <w:r>
        <w:rPr>
          <w:rFonts w:ascii="Times New Roman" w:hAnsi="Times New Roman"/>
          <w:b/>
          <w:i w:val="false"/>
          <w:color w:val="000000"/>
          <w:sz w:val="22"/>
        </w:rPr>
        <w:t xml:space="preserve">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apply for or to renew a permit, a business entity shall complete and submit the form provided by the department. All requested applicable information and attachments must be provided. A $500 nonrefundable application fee shall accompany each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475.2(2)</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A new permit is valid for one year from the date of issuance. A renewal permit is valid for one year from the expiration date of the applicant’s prior permit. A permit may be denied for the reasons set forth in rule </w:t>
      </w:r>
      <w:hyperlink r:id="rId5">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 Within 60 days of receiving a completed application package for a new permit, the department will issue a permit or deny the application. Within 30 days of receiving a completed application package for a permit renewal, the department will issue a permit or deny the application. Applications received after expiration of a prior permit will be considered applications for new permits rather than renewals.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481—475.3</w:t>
      </w:r>
      <w:r>
        <w:rPr>
          <w:rFonts w:ascii="Times New Roman" w:hAnsi="Times New Roman"/>
          <w:b/>
          <w:i w:val="false"/>
          <w:color w:val="000000"/>
          <w:sz w:val="22"/>
        </w:rPr>
        <w:t xml:space="preserve">(88B) </w:t>
      </w:r>
      <w:r>
        <w:rPr>
          <w:rFonts w:ascii="Times New Roman" w:hAnsi="Times New Roman"/>
          <w:b/>
          <w:i w:val="false"/>
          <w:color w:val="000000"/>
          <w:sz w:val="22"/>
        </w:rPr>
        <w:t xml:space="preserve">Other asbestos regulations. </w:t>
      </w:r>
      <w:r>
        <w:rPr>
          <w:rFonts w:ascii="Times New Roman" w:hAnsi="Times New Roman"/>
          <w:b w:val="false"/>
          <w:i w:val="false"/>
          <w:color w:val="000000"/>
          <w:sz w:val="22"/>
        </w:rPr>
        <w:t xml:space="preserve">Regulation of encapsulation, removal and abatement procedures are found in 481—Chapters </w:t>
      </w:r>
      <w:hyperlink r:id="rId6">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Nothing in this chapter provides an exemption, waiver, or variance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481—475.4</w:t>
      </w:r>
      <w:r>
        <w:rPr>
          <w:rFonts w:ascii="Times New Roman" w:hAnsi="Times New Roman"/>
          <w:b/>
          <w:i w:val="false"/>
          <w:color w:val="000000"/>
          <w:sz w:val="22"/>
        </w:rPr>
        <w:t xml:space="preserve">(88B) </w:t>
      </w:r>
      <w:r>
        <w:rPr>
          <w:rFonts w:ascii="Times New Roman" w:hAnsi="Times New Roman"/>
          <w:b/>
          <w:i w:val="false"/>
          <w:color w:val="000000"/>
          <w:sz w:val="22"/>
        </w:rPr>
        <w:t xml:space="preserve">Asbestos project records. </w:t>
      </w:r>
      <w:r>
        <w:rPr>
          <w:rFonts w:ascii="Times New Roman" w:hAnsi="Times New Roman"/>
          <w:b w:val="false"/>
          <w:i w:val="false"/>
          <w:color w:val="000000"/>
          <w:sz w:val="22"/>
        </w:rPr>
        <w:t>The permittee shall keep a record of each asbestos project it performs and make the record available to the department at any reasonable time. Records required by this rule shall be kept for at least six years.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individual who supervised the asbestos project and of each employee or agent who worked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475.4(2)</w:t>
      </w:r>
      <w:r>
        <w:rPr>
          <w:rFonts w:ascii="Times New Roman" w:hAnsi="Times New Roman"/>
          <w:b w:val="false"/>
          <w:i w:val="false"/>
          <w:color w:val="000000"/>
          <w:sz w:val="22"/>
        </w:rPr>
        <w:t> </w:t>
      </w:r>
      <w:r>
        <w:rPr>
          <w:rFonts w:ascii="Times New Roman" w:hAnsi="Times New Roman"/>
          <w:b w:val="false"/>
          <w:i w:val="false"/>
          <w:color w:val="000000"/>
          <w:sz w:val="22"/>
        </w:rPr>
        <w:t>The location and a description of the project and the amount of asbestos material that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475.4(3)</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each instance of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475.4(4)</w:t>
      </w:r>
      <w:r>
        <w:rPr>
          <w:rFonts w:ascii="Times New Roman" w:hAnsi="Times New Roman"/>
          <w:b w:val="false"/>
          <w:i w:val="false"/>
          <w:color w:val="000000"/>
          <w:sz w:val="22"/>
        </w:rPr>
        <w:t> </w:t>
      </w:r>
      <w:r>
        <w:rPr>
          <w:rFonts w:ascii="Times New Roman" w:hAnsi="Times New Roman"/>
          <w:b w:val="false"/>
          <w:i w:val="false"/>
          <w:color w:val="000000"/>
          <w:sz w:val="22"/>
        </w:rPr>
        <w:t>A summary of the procedures that were used to comply with all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asbestos disposal site where the asbestos-containing waste was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475.4(6)</w:t>
      </w:r>
      <w:r>
        <w:rPr>
          <w:rFonts w:ascii="Times New Roman" w:hAnsi="Times New Roman"/>
          <w:b w:val="false"/>
          <w:i w:val="false"/>
          <w:color w:val="000000"/>
          <w:sz w:val="22"/>
        </w:rPr>
        <w:t> </w:t>
      </w:r>
      <w:r>
        <w:rPr>
          <w:rFonts w:ascii="Times New Roman" w:hAnsi="Times New Roman"/>
          <w:b w:val="false"/>
          <w:i w:val="false"/>
          <w:color w:val="000000"/>
          <w:sz w:val="22"/>
        </w:rPr>
        <w:t>A receipt from the asbestos disposal site indicating the amount of asbestos and disposal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481—475.5</w:t>
      </w:r>
      <w:r>
        <w:rPr>
          <w:rFonts w:ascii="Times New Roman" w:hAnsi="Times New Roman"/>
          <w:b/>
          <w:i w:val="false"/>
          <w:color w:val="000000"/>
          <w:sz w:val="22"/>
        </w:rPr>
        <w:t xml:space="preserve">(88B) </w:t>
      </w:r>
      <w:r>
        <w:rPr>
          <w:rFonts w:ascii="Times New Roman" w:hAnsi="Times New Roman"/>
          <w:b/>
          <w:i w:val="false"/>
          <w:color w:val="000000"/>
          <w:sz w:val="22"/>
        </w:rPr>
        <w:t xml:space="preserve">Ten-day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Permittees shall notify the department at least ten working days before an asbestos project begins. A project begins when site preparations for asbestos abatement, encapsulation, or removal begin; when asbestos abatement, encapsulation, or removal begins; or when any demolition begins, whichever is soonest. Legible electronic transmissions of ten-day notices in the proper format will be accepted. If work on the asbestos-removal project does not commence within 30 calendar days of the original start date identified in the ten-day notice given by permittees to the department, a revised ten-day notice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475.5(2)</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When there is an immediate danger to life, health or property, the permittee may file the notice within five days after beginning the project. An explanation of the emergency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notice shall be submitted online or be on an 8½″ by 11″ sheet of paper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contact person for the permittee performing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structure and work to be performed, including type and quantity of asbestos-containing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dates of the project’s start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asbestos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and printed name of the person who completed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shift or work schedule on which the project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475.5(4)</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structures that are both located in an area that is subject to a disaster emergency proclamation pursuant to Iowa Code section </w:t>
      </w:r>
      <w:hyperlink r:id="rId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permittee shall file the notice described by this rule as early as possible, but not later than the working day following the initiation of the project. A description of the disaster and the disaster emergency proclamation shall be included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assistant’s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10">
        <w:r>
          <w:rPr>
            <w:rStyle w:val="Hyperlink"/>
            <w:rFonts w:ascii="Times New Roman" w:hAnsi="Times New Roman"/>
            <w:b w:val="false"/>
            <w:i w:val="false"/>
            <w:color w:val="000000"/>
            <w:sz w:val="22"/>
          </w:rPr>
          <w:t>481—475.8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hyperlink r:id="rId12">
        <w:r>
          <w:rPr>
            <w:rStyle w:val="Hyperlink"/>
            <w:rFonts w:ascii="Times New Roman" w:hAnsi="Times New Roman"/>
            <w:b w:val="false"/>
            <w:i w:val="false"/>
            <w:color w:val="000000"/>
            <w:sz w:val="22"/>
          </w:rPr>
          <w:t>475.6(11)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assistant’s statement indicating that a licensed physician or physician assistant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481—475.7</w:t>
      </w:r>
      <w:r>
        <w:rPr>
          <w:rFonts w:ascii="Times New Roman" w:hAnsi="Times New Roman"/>
          <w:b/>
          <w:i w:val="false"/>
          <w:color w:val="000000"/>
          <w:sz w:val="22"/>
        </w:rPr>
        <w:t xml:space="preserve">(88B) </w:t>
      </w:r>
      <w:r>
        <w:rPr>
          <w:rFonts w:ascii="Times New Roman" w:hAnsi="Times New Roman"/>
          <w:b/>
          <w:i w:val="false"/>
          <w:color w:val="000000"/>
          <w:sz w:val="22"/>
        </w:rPr>
        <w:t xml:space="preserve">Duplicate permits and licenses. </w:t>
      </w:r>
      <w:r>
        <w:rPr>
          <w:rFonts w:ascii="Times New Roman" w:hAnsi="Times New Roman"/>
          <w:b w:val="false"/>
          <w:i w:val="false"/>
          <w:color w:val="000000"/>
          <w:sz w:val="22"/>
        </w:rPr>
        <w:t>Duplicate original permits and licenses are available from the department for a $10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481—475.8</w:t>
      </w:r>
      <w:r>
        <w:rPr>
          <w:rFonts w:ascii="Times New Roman" w:hAnsi="Times New Roman"/>
          <w:b/>
          <w:i w:val="false"/>
          <w:color w:val="000000"/>
          <w:sz w:val="22"/>
        </w:rPr>
        <w:t xml:space="preserve">(17A,88B,252J,272D) </w:t>
      </w:r>
      <w:r>
        <w:rPr>
          <w:rFonts w:ascii="Times New Roman" w:hAnsi="Times New Roman"/>
          <w:b/>
          <w:i w:val="false"/>
          <w:color w:val="000000"/>
          <w:sz w:val="22"/>
        </w:rPr>
        <w:t xml:space="preserve">Denial, suspension and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In addition to the grounds in Iowa Code section </w:t>
      </w:r>
      <w:hyperlink r:id="rId13">
        <w:r>
          <w:rPr>
            <w:rStyle w:val="Hyperlink"/>
            <w:rFonts w:ascii="Times New Roman" w:hAnsi="Times New Roman"/>
            <w:b w:val="false"/>
            <w:i w:val="false"/>
            <w:color w:val="000000"/>
            <w:sz w:val="22"/>
          </w:rPr>
          <w:t>88B.8</w:t>
        </w:r>
      </w:hyperlink>
      <w:r>
        <w:rPr>
          <w:rFonts w:ascii="Times New Roman" w:hAnsi="Times New Roman"/>
          <w:b w:val="false"/>
          <w:i w:val="false"/>
          <w:color w:val="000000"/>
          <w:sz w:val="22"/>
        </w:rPr>
        <w:t>, the department may deny an application or suspend or revoke a permit or license when an investigation reasonably determines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from the centralized collection unit of the department of revenue or the child support recovery unit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or other debts are owed by the applicant to the department and are 30 days or more in arrears.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475.8(2)</w:t>
      </w:r>
      <w:r>
        <w:rPr>
          <w:rFonts w:ascii="Times New Roman" w:hAnsi="Times New Roman"/>
          <w:b w:val="false"/>
          <w:i w:val="false"/>
          <w:color w:val="000000"/>
          <w:sz w:val="22"/>
        </w:rPr>
        <w:t> </w:t>
      </w:r>
      <w:r>
        <w:rPr>
          <w:rFonts w:ascii="Times New Roman" w:hAnsi="Times New Roman"/>
          <w:b w:val="false"/>
          <w:i/>
          <w:color w:val="000000"/>
          <w:sz w:val="22"/>
        </w:rPr>
        <w:t xml:space="preserve">Relinquishing license or permit. </w:t>
      </w:r>
      <w:r>
        <w:rPr>
          <w:rFonts w:ascii="Times New Roman" w:hAnsi="Times New Roman"/>
          <w:b w:val="false"/>
          <w:i w:val="false"/>
          <w:color w:val="000000"/>
          <w:sz w:val="22"/>
        </w:rPr>
        <w:t>A licensee or permittee must return the original license or permit to the department when a revocation or suspension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475.8(3)</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Unless ordered otherwise, a suspension lasts for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481—475.9</w:t>
      </w:r>
      <w:r>
        <w:rPr>
          <w:rFonts w:ascii="Times New Roman" w:hAnsi="Times New Roman"/>
          <w:b/>
          <w:i w:val="false"/>
          <w:color w:val="000000"/>
          <w:sz w:val="22"/>
        </w:rPr>
        <w:t xml:space="preserve">(17A,88B)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civil penalty assessments and to denials, revocations and suspensions of asbestos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director shall serve a notice of intended action by restricted certified mail, return receipt requested, or by other service as permitted by Iowa Code section </w:t>
      </w:r>
      <w:hyperlink r:id="rId1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 notice of contest must be received by the director within 20 days after service of the notice of intended action. If a notice of contest is not timely filed, the action stated in the notice of intended action shall automatically be effective. Hearing procedures for asbestos contested cases are set forth in </w:t>
      </w:r>
      <w:hyperlink r:id="rId1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However, if a contested case is based on receipt by the department of a certificate of noncompliance, procedures outlined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88B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11/7/84—published 4/10/85, effective 5/15/85]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4/27/88, Notice 12/30/87—published 5/18/88, effective 7/1/88]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emergency 5/25/89—published 6/14/89, effective 7/1/89]</w:t>
      </w:r>
    </w:p>
    <w:p>
      <w:pPr>
        <w:spacing w:before="0" w:after="0"/>
        <w:ind w:left="120"/>
        <w:jc w:val="center"/>
      </w:pPr>
      <w:r>
        <w:rPr>
          <w:rFonts w:ascii="Times New Roman" w:hAnsi="Times New Roman"/>
          <w:b w:val="false"/>
          <w:i w:val="false"/>
          <w:color w:val="000000"/>
          <w:sz w:val="21"/>
        </w:rPr>
        <w:t>[Filed 10/26/89, Notice 6/14/89—published 11/15/89, effective 12/29/89]</w:t>
      </w:r>
    </w:p>
    <w:p>
      <w:pPr>
        <w:spacing w:before="0" w:after="0"/>
        <w:ind w:left="120"/>
        <w:jc w:val="center"/>
      </w:pPr>
      <w:r>
        <w:rPr>
          <w:rFonts w:ascii="Times New Roman" w:hAnsi="Times New Roman"/>
          <w:b w:val="false"/>
          <w:i w:val="false"/>
          <w:color w:val="000000"/>
          <w:sz w:val="21"/>
        </w:rPr>
        <w:t>[Filed 4/19/91, Notices 12/26/90, 1/23/91—published 5/15/91, effective 6/19/91]</w:t>
      </w:r>
    </w:p>
    <w:p>
      <w:pPr>
        <w:spacing w:before="0" w:after="0"/>
        <w:ind w:left="120"/>
        <w:jc w:val="center"/>
      </w:pPr>
      <w:r>
        <w:rPr>
          <w:rFonts w:ascii="Times New Roman" w:hAnsi="Times New Roman"/>
          <w:b w:val="false"/>
          <w:i w:val="false"/>
          <w:color w:val="000000"/>
          <w:sz w:val="21"/>
        </w:rPr>
        <w:t>[Filed 9/19/00, Notice 3/22/00—published 10/18/00, effective 11/22/00]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6288C</w:t>
      </w:r>
      <w:r>
        <w:rPr>
          <w:rFonts w:ascii="Times New Roman" w:hAnsi="Times New Roman"/>
          <w:b w:val="false"/>
          <w:i w:val="false"/>
          <w:color w:val="000000"/>
          <w:sz w:val="21"/>
        </w:rPr>
        <w:t xml:space="preserve"> (Notice ARC 6173C,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8834C</w:t>
      </w:r>
      <w:r>
        <w:rPr>
          <w:rFonts w:ascii="Times New Roman" w:hAnsi="Times New Roman"/>
          <w:b w:val="false"/>
          <w:i w:val="false"/>
          <w:color w:val="000000"/>
          <w:sz w:val="21"/>
        </w:rPr>
        <w:t xml:space="preserve"> (Notice ARC 8376C,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Effective date of Ch 81 delayed seventy days by the Administrative Rules Review Committee.</w:t>
      </w:r>
      <w:r>
        <w:br/>
      </w:r>
      <w:r>
        <w:rPr>
          <w:rFonts w:ascii="Times New Roman" w:hAnsi="Times New Roman"/>
          <w:b w:val="false"/>
          <w:i w:val="false"/>
          <w:color w:val="000000"/>
          <w:sz w:val="22"/>
        </w:rPr>
        <w:t>Exception: See rule 82.11(88B).</w:t>
      </w:r>
      <w:r>
        <w:br/>
      </w:r>
      <w:r>
        <w:rPr>
          <w:rFonts w:ascii="Times New Roman" w:hAnsi="Times New Roman"/>
          <w:b w:val="false"/>
          <w:i w:val="false"/>
          <w:color w:val="000000"/>
          <w:sz w:val="22"/>
        </w:rPr>
        <w:t>Effective date of Ch 82 delayed seventy days by the Administrative Rules Review Committee, IAB 6/5/85.</w:t>
      </w:r>
      <w:r>
        <w:br/>
      </w:r>
      <w:r>
        <w:rPr>
          <w:rFonts w:ascii="Times New Roman" w:hAnsi="Times New Roman"/>
          <w:b w:val="false"/>
          <w:i w:val="false"/>
          <w:color w:val="000000"/>
          <w:sz w:val="22"/>
        </w:rPr>
        <w:t>Effective date (5/15/85) of 82.3(1)</w:t>
      </w:r>
      <w:r>
        <w:rPr>
          <w:rFonts w:ascii="Times New Roman" w:hAnsi="Times New Roman"/>
          <w:b w:val="false"/>
          <w:i/>
          <w:color w:val="000000"/>
          <w:sz w:val="22"/>
        </w:rPr>
        <w:t>“a”</w:t>
      </w:r>
      <w:r>
        <w:rPr>
          <w:rFonts w:ascii="Times New Roman" w:hAnsi="Times New Roman"/>
          <w:b w:val="false"/>
          <w:i w:val="false"/>
          <w:color w:val="000000"/>
          <w:sz w:val="22"/>
        </w:rPr>
        <w:t xml:space="preserve">(11) delayed by the Administrative Rules Review Committee until the expiration of forty-five calendar days into the 1986 session of the General Assembly pursuant to Iowa Code section </w:t>
      </w:r>
      <w:hyperlink r:id="rId22">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7/31/85.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5.8.pdf" Type="http://schemas.openxmlformats.org/officeDocument/2006/relationships/hyperlink" Id="rId5"/>
    <Relationship TargetMode="External" Target="https://www.legis.iowa.gov/docs/iac/chapter/481.210.pdf" Type="http://schemas.openxmlformats.org/officeDocument/2006/relationships/hyperlink" Id="rId6"/>
    <Relationship TargetMode="External" Target="https://www.legis.iowa.gov/docs/iac/chapter/481.211.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29C.6.pdf" Type="http://schemas.openxmlformats.org/officeDocument/2006/relationships/hyperlink" Id="rId9"/>
    <Relationship TargetMode="External" Target="https://www.legis.iowa.gov/docs/iac/rule/481.475.8.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481.475.6.pdf" Type="http://schemas.openxmlformats.org/officeDocument/2006/relationships/hyperlink" Id="rId12"/>
    <Relationship TargetMode="External" Target="https://www.legis.iowa.gov/docs/ico/chapter/88B.8.pdf" Type="http://schemas.openxmlformats.org/officeDocument/2006/relationships/hyperlink" Id="rId13"/>
    <Relationship TargetMode="External" Target="https://www.legis.iowa.gov/docs/ico/chapter/17A.18.pdf" Type="http://schemas.openxmlformats.org/officeDocument/2006/relationships/hyperlink" Id="rId14"/>
    <Relationship TargetMode="External" Target="https://www.legis.iowa.gov/docs/iac/rule/481.481.9.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88B.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72D.pdf" Type="http://schemas.openxmlformats.org/officeDocument/2006/relationships/hyperlink" Id="rId21"/>
    <Relationship TargetMode="External" Target="https://www.legis.iowa.gov/docs/ico/chapter/17A.8.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