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400</w:t>
      </w:r>
    </w:p>
    <w:p>
      <w:pPr>
        <w:spacing w:before="0" w:after="0"/>
        <w:ind w:left="120"/>
        <w:jc w:val="center"/>
      </w:pPr>
      <w:r>
        <w:rPr>
          <w:rFonts w:ascii="Times New Roman" w:hAnsi="Times New Roman"/>
          <w:b w:val="false"/>
          <w:i w:val="false"/>
          <w:color w:val="000000"/>
          <w:sz w:val="21"/>
        </w:rPr>
        <w:t>ELECTRICIAN AND ELECTRICAL CONTRACTOR LICENSING PROGRAM—</w:t>
      </w:r>
      <w:r>
        <w:br/>
      </w: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14"/>
        </w:rPr>
        <w:t>[Prior to 7/9/25, see Public Safety Department[661] Ch 500]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481—400.1</w:t>
      </w:r>
      <w:r>
        <w:rPr>
          <w:rFonts w:ascii="Times New Roman" w:hAnsi="Times New Roman"/>
          <w:b/>
          <w:i w:val="false"/>
          <w:color w:val="000000"/>
          <w:sz w:val="22"/>
        </w:rPr>
        <w:t xml:space="preserve">(103)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The electrician and electrical contractor licensing program is established in the department of inspections, appeals, and licensing. The program is under the direction of the electrical examining board. Contact information of the board office can be found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481—400.2</w:t>
      </w:r>
      <w:r>
        <w:rPr>
          <w:rFonts w:ascii="Times New Roman" w:hAnsi="Times New Roman"/>
          <w:b/>
          <w:i w:val="false"/>
          <w:color w:val="000000"/>
          <w:sz w:val="22"/>
        </w:rPr>
        <w:t xml:space="preserve">(103)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all rules adopted by the electrical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by the board” </w:t>
      </w:r>
      <w:r>
        <w:rPr>
          <w:rFonts w:ascii="Times New Roman" w:hAnsi="Times New Roman"/>
          <w:b w:val="false"/>
          <w:i w:val="false"/>
          <w:color w:val="000000"/>
          <w:sz w:val="22"/>
        </w:rPr>
        <w:t>means the approval of any item, test or procedure by the electrical examining board by adoption of a resolution at a meeting of the board, provided that the approval has not been withdrawn by a later resolution of the board. A list of any such items, tests, or procedures that have been approved by the board is available from the board office or from the board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means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relates”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“directly related” </w:t>
      </w:r>
      <w:r>
        <w:rPr>
          <w:rFonts w:ascii="Times New Roman" w:hAnsi="Times New Roman"/>
          <w:b w:val="false"/>
          <w:i w:val="false"/>
          <w:color w:val="000000"/>
          <w:sz w:val="22"/>
        </w:rPr>
        <w:t>means either that the actions taken in furtherance of an offense are actions customarily performed within the scope of practice of the profession; or that the circumstances under which an offense was committed are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conviction”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building and construction bureau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“Documented experience” </w:t>
      </w:r>
      <w:r>
        <w:rPr>
          <w:rFonts w:ascii="Times New Roman" w:hAnsi="Times New Roman"/>
          <w:b w:val="false"/>
          <w:i w:val="false"/>
          <w:color w:val="000000"/>
          <w:sz w:val="22"/>
        </w:rPr>
        <w:t>means experience which an applicant for licensing has completed and which has been documented by the applicant’s completion and submission of a sworn affidavit or other evidence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means the process by which a person who has not yet submitted a completed license application may request that the board determine whether one or more of the person’s convictions are disqualifying offenses that would prevent the individual from receiving a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installation” </w:t>
      </w:r>
      <w:r>
        <w:rPr>
          <w:rFonts w:ascii="Times New Roman" w:hAnsi="Times New Roman"/>
          <w:b w:val="false"/>
          <w:i w:val="false"/>
          <w:color w:val="000000"/>
          <w:sz w:val="22"/>
        </w:rPr>
        <w:t xml:space="preserve">means an electrical installation necessary to restore power to a building or facility when existing equipment has been damaged due to a natural or man-made disaster or other weather-related cause. Emergency installations may be performed by persons properly licensed to perform the work, and may be performed prior to submission of a request for permit or request for inspection. A request for permit and request for inspection, if required by rule </w:t>
      </w:r>
      <w:hyperlink r:id="rId5">
        <w:r>
          <w:rPr>
            <w:rStyle w:val="Hyperlink"/>
            <w:rFonts w:ascii="Times New Roman" w:hAnsi="Times New Roman"/>
            <w:b w:val="false"/>
            <w:i w:val="false"/>
            <w:color w:val="000000"/>
            <w:sz w:val="22"/>
          </w:rPr>
          <w:t>481—404.5</w:t>
        </w:r>
      </w:hyperlink>
      <w:r>
        <w:rPr>
          <w:rFonts w:ascii="Times New Roman" w:hAnsi="Times New Roman"/>
          <w:b w:val="false"/>
          <w:i w:val="false"/>
          <w:color w:val="000000"/>
          <w:sz w:val="22"/>
        </w:rPr>
        <w:t>(103), should be made as soon as practicable and, in any event, no more than 72 hours after the installation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w:t>
      </w:r>
      <w:r>
        <w:rPr>
          <w:rFonts w:ascii="Times New Roman" w:hAnsi="Times New Roman"/>
          <w:b w:val="false"/>
          <w:i w:val="false"/>
          <w:color w:val="000000"/>
          <w:sz w:val="22"/>
        </w:rPr>
        <w:t xml:space="preserve">means the issuance, denial, suspension, or revocation of a license. If an action is subject to appeal, “final agency action” has occurred when the administrative appeal process provided for in </w:t>
      </w:r>
      <w:hyperlink r:id="rId6">
        <w:r>
          <w:rPr>
            <w:rStyle w:val="Hyperlink"/>
            <w:rFonts w:ascii="Times New Roman" w:hAnsi="Times New Roman"/>
            <w:b w:val="false"/>
            <w:i w:val="false"/>
            <w:color w:val="000000"/>
            <w:sz w:val="22"/>
          </w:rPr>
          <w:t>481—Chapter 402</w:t>
        </w:r>
      </w:hyperlink>
      <w:r>
        <w:rPr>
          <w:rFonts w:ascii="Times New Roman" w:hAnsi="Times New Roman"/>
          <w:b w:val="false"/>
          <w:i w:val="false"/>
          <w:color w:val="000000"/>
          <w:sz w:val="22"/>
        </w:rPr>
        <w:t xml:space="preserve"> has been exhausted or when the deadline for filing an appeal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a minimum of 1,700 hours of work in a one-year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apprenticeship program” </w:t>
      </w:r>
      <w:r>
        <w:rPr>
          <w:rFonts w:ascii="Times New Roman" w:hAnsi="Times New Roman"/>
          <w:b w:val="false"/>
          <w:i w:val="false"/>
          <w:color w:val="000000"/>
          <w:sz w:val="22"/>
        </w:rPr>
        <w:t>means an electrical apprenticeship program registered with the Bureau of Apprenticeship and Training of the United States Department of Labor or an electrical apprenticeship program registered with a state agency whose registration program is accepted by the Bureau of Apprenticeship and Training in lieu of direct registration with the Bureau of Apprenticeship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electrical work” </w:t>
      </w:r>
      <w:r>
        <w:rPr>
          <w:rFonts w:ascii="Times New Roman" w:hAnsi="Times New Roman"/>
          <w:b w:val="false"/>
          <w:i w:val="false"/>
          <w:color w:val="000000"/>
          <w:sz w:val="22"/>
        </w:rPr>
        <w:t>means electrical work in a residence in which there are no more than four living units within the same building and includes work to connect and work within accessory structures, which are structures no greater than 3,000 square feet in floor area, not more than two stories in height, the use of which is incidental to the use of the dwelling unit or units, and located on the same lot as the dwelling unit or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“Transferring jurisdiction” </w:t>
      </w:r>
      <w:r>
        <w:rPr>
          <w:rFonts w:ascii="Times New Roman" w:hAnsi="Times New Roman"/>
          <w:b w:val="false"/>
          <w:i w:val="false"/>
          <w:color w:val="000000"/>
          <w:sz w:val="22"/>
        </w:rPr>
        <w:t>means the specific issuing jurisdiction on which an applicant relies to seek licensure in Iowa by verification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17A,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9234B</w:t>
      </w:r>
      <w:r>
        <w:rPr>
          <w:rFonts w:ascii="Times New Roman" w:hAnsi="Times New Roman"/>
          <w:b w:val="false"/>
          <w:i w:val="false"/>
          <w:color w:val="000000"/>
          <w:sz w:val="21"/>
        </w:rPr>
        <w:t xml:space="preserve"> (Notice ARC 9099B,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[Editorial change: IAC Supplement 9/7/11]</w:t>
      </w:r>
    </w:p>
    <w:p>
      <w:pPr>
        <w:spacing w:before="0" w:after="0"/>
        <w:ind w:left="120"/>
        <w:jc w:val="center"/>
      </w:pPr>
      <w:r>
        <w:rPr>
          <w:rFonts w:ascii="Times New Roman" w:hAnsi="Times New Roman"/>
          <w:b w:val="false"/>
          <w:i w:val="false"/>
          <w:color w:val="000000"/>
          <w:sz w:val="21"/>
        </w:rPr>
        <w:t>[Filed ARC 9811B</w:t>
      </w:r>
      <w:r>
        <w:rPr>
          <w:rFonts w:ascii="Times New Roman" w:hAnsi="Times New Roman"/>
          <w:b w:val="false"/>
          <w:i w:val="false"/>
          <w:color w:val="000000"/>
          <w:sz w:val="21"/>
        </w:rPr>
        <w:t xml:space="preserve"> (Notice ARC 9652B, IAB 8/10/11)</w:t>
      </w:r>
      <w:r>
        <w:rPr>
          <w:rFonts w:ascii="Times New Roman" w:hAnsi="Times New Roman"/>
          <w:b w:val="false"/>
          <w:i w:val="false"/>
          <w:color w:val="000000"/>
          <w:sz w:val="21"/>
        </w:rPr>
        <w:t>, IAB 10/19/11, effective 12/1/11]</w:t>
      </w:r>
    </w:p>
    <w:p>
      <w:pPr>
        <w:spacing w:before="0" w:after="0"/>
        <w:ind w:left="120"/>
        <w:jc w:val="center"/>
      </w:pPr>
      <w:r>
        <w:rPr>
          <w:rFonts w:ascii="Times New Roman" w:hAnsi="Times New Roman"/>
          <w:b w:val="false"/>
          <w:i w:val="false"/>
          <w:color w:val="000000"/>
          <w:sz w:val="21"/>
        </w:rPr>
        <w:t>[Filed ARC 5723C</w:t>
      </w:r>
      <w:r>
        <w:rPr>
          <w:rFonts w:ascii="Times New Roman" w:hAnsi="Times New Roman"/>
          <w:b w:val="false"/>
          <w:i w:val="false"/>
          <w:color w:val="000000"/>
          <w:sz w:val="21"/>
        </w:rPr>
        <w:t xml:space="preserve"> (Notice ARC 5587C,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7877C</w:t>
      </w:r>
      <w:r>
        <w:rPr>
          <w:rFonts w:ascii="Times New Roman" w:hAnsi="Times New Roman"/>
          <w:b w:val="false"/>
          <w:i w:val="false"/>
          <w:color w:val="000000"/>
          <w:sz w:val="21"/>
        </w:rPr>
        <w:t xml:space="preserve"> (Notice ARC 7281C,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04.5.pdf" Type="http://schemas.openxmlformats.org/officeDocument/2006/relationships/hyperlink" Id="rId5"/>
    <Relationship TargetMode="External" Target="https://www.legis.iowa.gov/docs/iac/chapter/481.402.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co/chapter/272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