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382</w:t>
      </w:r>
    </w:p>
    <w:p>
      <w:pPr>
        <w:spacing w:before="0" w:after="0"/>
        <w:ind w:left="120"/>
        <w:jc w:val="center"/>
      </w:pPr>
      <w:r>
        <w:rPr>
          <w:rFonts w:ascii="Times New Roman" w:hAnsi="Times New Roman"/>
          <w:b w:val="false"/>
          <w:i w:val="false"/>
          <w:color w:val="000000"/>
          <w:sz w:val="21"/>
        </w:rPr>
        <w:t>CONTESTED CASES BEFORE THE BOILER AND PRESSURE VESSEL BOARD</w:t>
      </w:r>
    </w:p>
    <w:p>
      <w:pPr>
        <w:spacing w:before="0" w:after="0"/>
        <w:ind w:left="120"/>
        <w:jc w:val="center"/>
      </w:pPr>
      <w:r>
        <w:rPr>
          <w:rFonts w:ascii="Times New Roman" w:hAnsi="Times New Roman"/>
          <w:b w:val="false"/>
          <w:i w:val="false"/>
          <w:color w:val="000000"/>
          <w:sz w:val="14"/>
        </w:rPr>
        <w:t>[Prior to 7/9/25, see Labor Services Division[875] Ch 84]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481—382.1</w:t>
      </w:r>
      <w:r>
        <w:rPr>
          <w:rFonts w:ascii="Times New Roman" w:hAnsi="Times New Roman"/>
          <w:b/>
          <w:i w:val="false"/>
          <w:color w:val="000000"/>
          <w:sz w:val="22"/>
        </w:rPr>
        <w:t xml:space="preserve">(17A,89) </w:t>
      </w:r>
      <w:r>
        <w:rPr>
          <w:rFonts w:ascii="Times New Roman" w:hAnsi="Times New Roman"/>
          <w:b/>
          <w:i w:val="false"/>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5">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382.1(1)</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382.1(2)</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along with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382.1(3)</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382.1(5)</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waivers of administrative rules may only be made to the board pursuant to the provisions of </w:t>
      </w:r>
      <w:hyperlink r:id="rId6">
        <w:r>
          <w:rPr>
            <w:rStyle w:val="Hyperlink"/>
            <w:rFonts w:ascii="Times New Roman" w:hAnsi="Times New Roman"/>
            <w:b w:val="false"/>
            <w:i w:val="false"/>
            <w:color w:val="000000"/>
            <w:sz w:val="22"/>
          </w:rPr>
          <w:t>481—Chapter 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382.1(6)</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w:t>
      </w:r>
      <w:r>
        <w:rPr>
          <w:rFonts w:ascii="Times New Roman" w:hAnsi="Times New Roman"/>
          <w:b/>
          <w:i w:val="false"/>
          <w:color w:val="000000"/>
          <w:sz w:val="22"/>
        </w:rPr>
        <w:t xml:space="preserve">(17A,89) </w:t>
      </w:r>
      <w:r>
        <w:rPr>
          <w:rFonts w:ascii="Times New Roman" w:hAnsi="Times New Roman"/>
          <w:b/>
          <w:i w:val="false"/>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481—382.3</w:t>
      </w:r>
      <w:r>
        <w:rPr>
          <w:rFonts w:ascii="Times New Roman" w:hAnsi="Times New Roman"/>
          <w:b/>
          <w:i w:val="false"/>
          <w:color w:val="000000"/>
          <w:sz w:val="22"/>
        </w:rPr>
        <w:t xml:space="preserve">(17A,89) </w:t>
      </w:r>
      <w:r>
        <w:rPr>
          <w:rFonts w:ascii="Times New Roman" w:hAnsi="Times New Roman"/>
          <w:b/>
          <w:i w:val="false"/>
          <w:color w:val="000000"/>
          <w:sz w:val="22"/>
        </w:rPr>
        <w:t xml:space="preserve">Informal review. </w:t>
      </w:r>
      <w:r>
        <w:rPr>
          <w:rFonts w:ascii="Times New Roman" w:hAnsi="Times New Roman"/>
          <w:b w:val="false"/>
          <w:i w:val="false"/>
          <w:color w:val="000000"/>
          <w:sz w:val="22"/>
        </w:rPr>
        <w:t>If the appellant requests an informal review and the director does not object, the board may conduct an informal review of the facts and circumstances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382.3(1)</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382.3(2)</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a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8">
        <w:r>
          <w:rPr>
            <w:rStyle w:val="Hyperlink"/>
            <w:rFonts w:ascii="Times New Roman" w:hAnsi="Times New Roman"/>
            <w:b w:val="false"/>
            <w:i w:val="false"/>
            <w:color w:val="000000"/>
            <w:sz w:val="22"/>
          </w:rPr>
          <w:t>481—382.4</w:t>
        </w:r>
      </w:hyperlink>
      <w:r>
        <w:rPr>
          <w:rFonts w:ascii="Times New Roman" w:hAnsi="Times New Roman"/>
          <w:b w:val="false"/>
          <w:i w:val="false"/>
          <w:color w:val="000000"/>
          <w:sz w:val="22"/>
        </w:rPr>
        <w:t xml:space="preserve">(17A,89) through </w:t>
      </w:r>
      <w:hyperlink r:id="rId9">
        <w:r>
          <w:rPr>
            <w:rStyle w:val="Hyperlink"/>
            <w:rFonts w:ascii="Times New Roman" w:hAnsi="Times New Roman"/>
            <w:b w:val="false"/>
            <w:i w:val="false"/>
            <w:color w:val="000000"/>
            <w:sz w:val="22"/>
          </w:rPr>
          <w:t>481—382.31</w:t>
        </w:r>
      </w:hyperlink>
      <w:r>
        <w:rPr>
          <w:rFonts w:ascii="Times New Roman" w:hAnsi="Times New Roman"/>
          <w:b w:val="false"/>
          <w:i w:val="false"/>
          <w:color w:val="000000"/>
          <w:sz w:val="22"/>
        </w:rPr>
        <w:t>(17A,89) do not apply during informal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481—382.4</w:t>
      </w:r>
      <w:r>
        <w:rPr>
          <w:rFonts w:ascii="Times New Roman" w:hAnsi="Times New Roman"/>
          <w:b/>
          <w:i w:val="false"/>
          <w:color w:val="000000"/>
          <w:sz w:val="22"/>
        </w:rPr>
        <w:t xml:space="preserve">(17A,89) </w:t>
      </w:r>
      <w:r>
        <w:rPr>
          <w:rFonts w:ascii="Times New Roman" w:hAnsi="Times New Roman"/>
          <w:b/>
          <w:i w:val="false"/>
          <w:color w:val="000000"/>
          <w:sz w:val="22"/>
        </w:rPr>
        <w:t xml:space="preserve">Delivery of notice. </w:t>
      </w:r>
      <w:r>
        <w:rPr>
          <w:rFonts w:ascii="Times New Roman" w:hAnsi="Times New Roman"/>
          <w:b w:val="false"/>
          <w:i w:val="false"/>
          <w:color w:val="000000"/>
          <w:sz w:val="22"/>
        </w:rPr>
        <w:t>Delivery of the notice of hearing by the board constitutes the commencement of a contested case proceeding. Delivery may be executed by regular mail. The notice shall be delivered to the appellant, the appellant’s attorney, if known, and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Contents of notice. </w:t>
      </w:r>
      <w:r>
        <w:rPr>
          <w:rFonts w:ascii="Times New Roman" w:hAnsi="Times New Roman"/>
          <w:b w:val="false"/>
          <w:i w:val="false"/>
          <w:color w:val="000000"/>
          <w:sz w:val="22"/>
        </w:rPr>
        <w:t>The notice of hearing will contain a statement of the time, place, and nature of the hearing and a brief statement of the matters asserted. It is the appellant’s burden on appeal to prove compliance with all applicable statutory provisions, administrative rules, and ASME code sections. The notice shall contain a reference to the applicable statute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481—382.6</w:t>
      </w:r>
      <w:r>
        <w:rPr>
          <w:rFonts w:ascii="Times New Roman" w:hAnsi="Times New Roman"/>
          <w:b/>
          <w:i w:val="false"/>
          <w:color w:val="000000"/>
          <w:sz w:val="22"/>
        </w:rPr>
        <w:t xml:space="preserve">(17A,89) </w:t>
      </w:r>
      <w:r>
        <w:rPr>
          <w:rFonts w:ascii="Times New Roman" w:hAnsi="Times New Roman"/>
          <w:b/>
          <w:i w:val="false"/>
          <w:color w:val="000000"/>
          <w:sz w:val="22"/>
        </w:rPr>
        <w:t xml:space="preserve">Scope of issues. </w:t>
      </w:r>
      <w:r>
        <w:rPr>
          <w:rFonts w:ascii="Times New Roman" w:hAnsi="Times New Roman"/>
          <w:b w:val="false"/>
          <w:i w:val="false"/>
          <w:color w:val="000000"/>
          <w:sz w:val="22"/>
        </w:rPr>
        <w:t>Only those issues raised before the director in the petition for reconsideration will be considered preserved for appeal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481—382.7</w:t>
      </w:r>
      <w:r>
        <w:rPr>
          <w:rFonts w:ascii="Times New Roman" w:hAnsi="Times New Roman"/>
          <w:b/>
          <w:i w:val="false"/>
          <w:color w:val="000000"/>
          <w:sz w:val="22"/>
        </w:rPr>
        <w:t xml:space="preserve">(17A,89) </w:t>
      </w:r>
      <w:r>
        <w:rPr>
          <w:rFonts w:ascii="Times New Roman" w:hAnsi="Times New Roman"/>
          <w:b/>
          <w:i w:val="false"/>
          <w:color w:val="000000"/>
          <w:sz w:val="22"/>
        </w:rPr>
        <w:t xml:space="preserve">File transmitted to the board. </w:t>
      </w:r>
      <w:r>
        <w:rPr>
          <w:rFonts w:ascii="Times New Roman" w:hAnsi="Times New Roman"/>
          <w:b w:val="false"/>
          <w:i w:val="false"/>
          <w:color w:val="000000"/>
          <w:sz w:val="22"/>
        </w:rPr>
        <w:t>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481—382.8</w:t>
      </w:r>
      <w:r>
        <w:rPr>
          <w:rFonts w:ascii="Times New Roman" w:hAnsi="Times New Roman"/>
          <w:b/>
          <w:i w:val="false"/>
          <w:color w:val="000000"/>
          <w:sz w:val="22"/>
        </w:rPr>
        <w:t xml:space="preserve">(17A,89)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Any private party to a contested case is entitled to legal representation at the discretion and expense of that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481—382.9</w:t>
      </w:r>
      <w:r>
        <w:rPr>
          <w:rFonts w:ascii="Times New Roman" w:hAnsi="Times New Roman"/>
          <w:b/>
          <w:i w:val="false"/>
          <w:color w:val="000000"/>
          <w:sz w:val="22"/>
        </w:rPr>
        <w:t xml:space="preserve">(17A,89)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382.9(2)</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that wishes to request that the presiding officer assigned to render a proposed decision be an administrative law judge employed by the department of inspections, appeals, and licensing must file a written request within 20 days after service of a notice of hearing that identifies the presiding officer as the board. 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board nor any officer of the board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interboard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382.9(3)</w:t>
      </w:r>
      <w:r>
        <w:rPr>
          <w:rFonts w:ascii="Times New Roman" w:hAnsi="Times New Roman"/>
          <w:b w:val="false"/>
          <w:i w:val="false"/>
          <w:color w:val="000000"/>
          <w:sz w:val="22"/>
        </w:rPr>
        <w:t> </w:t>
      </w:r>
      <w:r>
        <w:rPr>
          <w:rFonts w:ascii="Times New Roman" w:hAnsi="Times New Roman"/>
          <w:b w:val="false"/>
          <w:i w:val="false"/>
          <w:color w:val="000000"/>
          <w:sz w:val="22"/>
        </w:rPr>
        <w:t>The board shall issue a written ruling specifying the grounds for its decision within 20 days after a request for an administrative law judge is filed. If the ruling is granted, the administrative law judge assigned to act as presiding officer and to issue a proposed decision in a contested case will have a J.D. degree unless this requirement is waived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382.9(4)</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382.9(5)</w:t>
      </w:r>
      <w:r>
        <w:rPr>
          <w:rFonts w:ascii="Times New Roman" w:hAnsi="Times New Roman"/>
          <w:b w:val="false"/>
          <w:i w:val="false"/>
          <w:color w:val="000000"/>
          <w:sz w:val="22"/>
        </w:rPr>
        <w:t> </w:t>
      </w:r>
      <w:r>
        <w:rPr>
          <w:rFonts w:ascii="Times New Roman" w:hAnsi="Times New Roman"/>
          <w:b w:val="false"/>
          <w:i w:val="false"/>
          <w:color w:val="000000"/>
          <w:sz w:val="22"/>
        </w:rPr>
        <w:t xml:space="preserve">All rulings by an administrative law judge who acts either as presiding officer or assistant to the board are subject to appeal to the board pursuant to rules </w:t>
      </w:r>
      <w:hyperlink r:id="rId10">
        <w:r>
          <w:rPr>
            <w:rStyle w:val="Hyperlink"/>
            <w:rFonts w:ascii="Times New Roman" w:hAnsi="Times New Roman"/>
            <w:b w:val="false"/>
            <w:i w:val="false"/>
            <w:color w:val="000000"/>
            <w:sz w:val="22"/>
          </w:rPr>
          <w:t>481—382.26</w:t>
        </w:r>
      </w:hyperlink>
      <w:r>
        <w:rPr>
          <w:rFonts w:ascii="Times New Roman" w:hAnsi="Times New Roman"/>
          <w:b w:val="false"/>
          <w:i w:val="false"/>
          <w:color w:val="000000"/>
          <w:sz w:val="22"/>
        </w:rPr>
        <w:t xml:space="preserve">(17A,89) and </w:t>
      </w:r>
      <w:hyperlink r:id="rId11">
        <w:r>
          <w:rPr>
            <w:rStyle w:val="Hyperlink"/>
            <w:rFonts w:ascii="Times New Roman" w:hAnsi="Times New Roman"/>
            <w:b w:val="false"/>
            <w:i w:val="false"/>
            <w:color w:val="000000"/>
            <w:sz w:val="22"/>
          </w:rPr>
          <w:t>481—382.27</w:t>
        </w:r>
      </w:hyperlink>
      <w:r>
        <w:rPr>
          <w:rFonts w:ascii="Times New Roman" w:hAnsi="Times New Roman"/>
          <w:b w:val="false"/>
          <w:i w:val="false"/>
          <w:color w:val="000000"/>
          <w:sz w:val="22"/>
        </w:rPr>
        <w:t>(17A,89).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382.9(6)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481—382.10</w:t>
      </w:r>
      <w:r>
        <w:rPr>
          <w:rFonts w:ascii="Times New Roman" w:hAnsi="Times New Roman"/>
          <w:b/>
          <w:i w:val="false"/>
          <w:color w:val="000000"/>
          <w:sz w:val="22"/>
        </w:rPr>
        <w:t xml:space="preserve">(17A,89)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when a document is filed in a contested case proceeding, it shall be served upon each of the parties of record. Except for the original notice of hearing and an application for rehearing as provided in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is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After the notice of hearing, all documents in a contested case proceeding will be filed with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Boiler and Pressure Vessel Board, Department of Inspections, Appeals, and Licensing, 6200 Park Avenue, Suite 100, Des Moines, Iowa 50321,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481—382.11</w:t>
      </w:r>
      <w:r>
        <w:rPr>
          <w:rFonts w:ascii="Times New Roman" w:hAnsi="Times New Roman"/>
          <w:b/>
          <w:i w:val="false"/>
          <w:color w:val="000000"/>
          <w:sz w:val="22"/>
        </w:rPr>
        <w:t xml:space="preserve">(17A,89)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382.11(1)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to be computed as provided in Iowa Code section </w:t>
      </w:r>
      <w:hyperlink r:id="rId13">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382.11(2)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affords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481—382.12</w:t>
      </w:r>
      <w:r>
        <w:rPr>
          <w:rFonts w:ascii="Times New Roman" w:hAnsi="Times New Roman"/>
          <w:b/>
          <w:i w:val="false"/>
          <w:color w:val="000000"/>
          <w:sz w:val="22"/>
        </w:rPr>
        <w:t xml:space="preserve">(17A,89)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board in its discretion may refuse to give effect to such a waiver when the board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481—382.13</w:t>
      </w:r>
      <w:r>
        <w:rPr>
          <w:rFonts w:ascii="Times New Roman" w:hAnsi="Times New Roman"/>
          <w:b/>
          <w:i w:val="false"/>
          <w:color w:val="000000"/>
          <w:sz w:val="22"/>
        </w:rPr>
        <w:t xml:space="preserve">(17A,89) </w:t>
      </w:r>
      <w:r>
        <w:rPr>
          <w:rFonts w:ascii="Times New Roman" w:hAnsi="Times New Roman"/>
          <w:b/>
          <w:i w:val="false"/>
          <w:color w:val="000000"/>
          <w:sz w:val="22"/>
        </w:rPr>
        <w:t xml:space="preserve">Telephone and electronic proceedings. </w:t>
      </w:r>
      <w:r>
        <w:rPr>
          <w:rFonts w:ascii="Times New Roman" w:hAnsi="Times New Roman"/>
          <w:b w:val="false"/>
          <w:i w:val="false"/>
          <w:color w:val="000000"/>
          <w:sz w:val="22"/>
        </w:rPr>
        <w:t>The presiding officer may, on the officer’s own motion or as requested by a party, order hearings or argument to be held by telephone conference or other electronic means in which all parties have an opportunity to participate. The presiding officer will determine the location of the parties and witnesses for telephone or other electronic hearings. The convenience of the witnesses or parties, as well as the nature of the case, will be considered when location is chosen. Parties shall disclose at or before the prehearing conference if any witness will be testifying by telephone. Any objections are filed with the board and served on all parties at least three business days in advance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481—382.14</w:t>
      </w:r>
      <w:r>
        <w:rPr>
          <w:rFonts w:ascii="Times New Roman" w:hAnsi="Times New Roman"/>
          <w:b/>
          <w:i w:val="false"/>
          <w:color w:val="000000"/>
          <w:sz w:val="22"/>
        </w:rPr>
        <w:t xml:space="preserve">(17A,89)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Factual information relevant to the merits of a contested case received by a person who later serves as presiding officer in that case shall be disclosed if required by Iowa Code section </w:t>
      </w:r>
      <w:hyperlink r:id="rId14">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 </w:t>
      </w:r>
      <w:hyperlink r:id="rId15">
        <w:r>
          <w:rPr>
            <w:rStyle w:val="Hyperlink"/>
            <w:rFonts w:ascii="Times New Roman" w:hAnsi="Times New Roman"/>
            <w:b w:val="false"/>
            <w:i w:val="false"/>
            <w:color w:val="000000"/>
            <w:sz w:val="22"/>
          </w:rPr>
          <w:t>382.25(7)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6">
        <w:r>
          <w:rPr>
            <w:rStyle w:val="Hyperlink"/>
            <w:rFonts w:ascii="Times New Roman" w:hAnsi="Times New Roman"/>
            <w:b w:val="false"/>
            <w:i w:val="false"/>
            <w:color w:val="000000"/>
            <w:sz w:val="22"/>
          </w:rPr>
          <w:t>382.14(1)</w:t>
        </w:r>
      </w:hyperlink>
      <w:r>
        <w:rPr>
          <w:rFonts w:ascii="Times New Roman" w:hAnsi="Times New Roman"/>
          <w:b w:val="false"/>
          <w:i w:val="false"/>
          <w:color w:val="000000"/>
          <w:sz w:val="22"/>
        </w:rPr>
        <w:t xml:space="preserve">, the party files a motion supported by an affidavit pursuant to Iowa Code section </w:t>
      </w:r>
      <w:hyperlink r:id="rId17">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18">
        <w:r>
          <w:rPr>
            <w:rStyle w:val="Hyperlink"/>
            <w:rFonts w:ascii="Times New Roman" w:hAnsi="Times New Roman"/>
            <w:b w:val="false"/>
            <w:i w:val="false"/>
            <w:color w:val="000000"/>
            <w:sz w:val="22"/>
          </w:rPr>
          <w:t>481—382.26</w:t>
        </w:r>
      </w:hyperlink>
      <w:r>
        <w:rPr>
          <w:rFonts w:ascii="Times New Roman" w:hAnsi="Times New Roman"/>
          <w:b w:val="false"/>
          <w:i w:val="false"/>
          <w:color w:val="000000"/>
          <w:sz w:val="22"/>
        </w:rPr>
        <w:t xml:space="preserve">(17A,89) and seek a stay under rule </w:t>
      </w:r>
      <w:hyperlink r:id="rId19">
        <w:r>
          <w:rPr>
            <w:rStyle w:val="Hyperlink"/>
            <w:rFonts w:ascii="Times New Roman" w:hAnsi="Times New Roman"/>
            <w:b w:val="false"/>
            <w:i w:val="false"/>
            <w:color w:val="000000"/>
            <w:sz w:val="22"/>
          </w:rPr>
          <w:t>481—382.30</w:t>
        </w:r>
      </w:hyperlink>
      <w:r>
        <w:rPr>
          <w:rFonts w:ascii="Times New Roman" w:hAnsi="Times New Roman"/>
          <w:b w:val="false"/>
          <w:i w:val="false"/>
          <w:color w:val="000000"/>
          <w:sz w:val="22"/>
        </w:rPr>
        <w:t>(17A,89).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481—382.15</w:t>
      </w:r>
      <w:r>
        <w:rPr>
          <w:rFonts w:ascii="Times New Roman" w:hAnsi="Times New Roman"/>
          <w:b/>
          <w:i w:val="false"/>
          <w:color w:val="000000"/>
          <w:sz w:val="22"/>
        </w:rPr>
        <w:t xml:space="preserve">(17A,89) </w:t>
      </w:r>
      <w:r>
        <w:rPr>
          <w:rFonts w:ascii="Times New Roman" w:hAnsi="Times New Roman"/>
          <w:b/>
          <w:i w:val="false"/>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382.15(1)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382.15(2)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481—382.16</w:t>
      </w:r>
      <w:r>
        <w:rPr>
          <w:rFonts w:ascii="Times New Roman" w:hAnsi="Times New Roman"/>
          <w:b/>
          <w:i w:val="false"/>
          <w:color w:val="000000"/>
          <w:sz w:val="22"/>
        </w:rPr>
        <w:t xml:space="preserve">(17A,89)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discovery procedures applicable in civil actions are applicable in contested cases. Unless lengthened or shortened by these rules or by order of the presiding officer, time periods for compliance with discovery are governed by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382.16(2)</w:t>
      </w:r>
      <w:r>
        <w:rPr>
          <w:rFonts w:ascii="Times New Roman" w:hAnsi="Times New Roman"/>
          <w:b w:val="false"/>
          <w:i w:val="false"/>
          <w:color w:val="000000"/>
          <w:sz w:val="22"/>
        </w:rPr>
        <w:t> </w:t>
      </w:r>
      <w:r>
        <w:rPr>
          <w:rFonts w:ascii="Times New Roman" w:hAnsi="Times New Roman"/>
          <w:b w:val="false"/>
          <w:i w:val="false"/>
          <w:color w:val="000000"/>
          <w:sz w:val="22"/>
        </w:rPr>
        <w:t>Any motion relating to discovery shall allege that the moving party has previously made a good-faith attempt to resolve the matter with the opposing party. Motions in regard to discovery are ruled upon by the presiding officer. Opposing parties will be afforded the opportunity to respond within ten days of the filing of the motion unless the time is shortened by order of the presiding officer. The presiding officer may rule on the basis of the written motion and any response, or may order argument on the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481—382.17</w:t>
      </w:r>
      <w:r>
        <w:rPr>
          <w:rFonts w:ascii="Times New Roman" w:hAnsi="Times New Roman"/>
          <w:b/>
          <w:i w:val="false"/>
          <w:color w:val="000000"/>
          <w:sz w:val="22"/>
        </w:rPr>
        <w:t xml:space="preserve">(17A,89) </w:t>
      </w:r>
      <w:r>
        <w:rPr>
          <w:rFonts w:ascii="Times New Roman" w:hAnsi="Times New Roman"/>
          <w:b/>
          <w:i w:val="false"/>
          <w:color w:val="000000"/>
          <w:sz w:val="22"/>
        </w:rPr>
        <w:t xml:space="preserve">Subpoenas in a contested case. </w:t>
      </w:r>
      <w:r>
        <w:rPr>
          <w:rFonts w:ascii="Times New Roman" w:hAnsi="Times New Roman"/>
          <w:b w:val="false"/>
          <w:i w:val="false"/>
          <w:color w:val="000000"/>
          <w:sz w:val="22"/>
        </w:rPr>
        <w:t xml:space="preserve">Pursuant to Iowa Code section </w:t>
      </w:r>
      <w:hyperlink r:id="rId2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board or the presiding officer acting on behalf of the board has the authority to issue subpoenas to compel the attendance of witnesses at depositions or hearings and to compel the production of professional records, books, papers, correspondence and other records that are deemed necessary as evidence in connection with a contested case. A subpoena issued in a contested case under the board’s authority may seek evidence whether or not privileged or confidential under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382.17(1)</w:t>
      </w:r>
      <w:r>
        <w:rPr>
          <w:rFonts w:ascii="Times New Roman" w:hAnsi="Times New Roman"/>
          <w:b w:val="false"/>
          <w:i w:val="false"/>
          <w:color w:val="000000"/>
          <w:sz w:val="22"/>
        </w:rPr>
        <w:t> </w:t>
      </w:r>
      <w:r>
        <w:rPr>
          <w:rFonts w:ascii="Times New Roman" w:hAnsi="Times New Roman"/>
          <w:b w:val="false"/>
          <w:i w:val="false"/>
          <w:color w:val="000000"/>
          <w:sz w:val="22"/>
        </w:rPr>
        <w:t>Upon the written request of a party, the presiding officer shall issue a subpoena to compel the attendance of witnesses or to obtain evidence that is deemed necessary in connection with a contested case. A command to produce evidence may be joined with a command to appear at deposition or hearing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mail or otherwise provide copies of all subpoenas to the parties to the contested case.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382.17(8)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481—382.18</w:t>
      </w:r>
      <w:r>
        <w:rPr>
          <w:rFonts w:ascii="Times New Roman" w:hAnsi="Times New Roman"/>
          <w:b/>
          <w:i w:val="false"/>
          <w:color w:val="000000"/>
          <w:sz w:val="22"/>
        </w:rPr>
        <w:t xml:space="preserve">(17A,89)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382.18(1)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382.18(2)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board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382.18(4)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382.18(5)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comply with the requirements of Iowa Rule of Civil Procedure 1.981 and are subject to disposition according to the requirements of that rule to the extent such requirements are not inconsistent with the provisions of this rule or any other provision of law governing the procedure in contested cases. Motions for summary judgment must be filed and served at least 45 days prior to the scheduled hearing date, or other time period determined by the presiding officer. Any party resisting the motion files and serves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22">
        <w:r>
          <w:rPr>
            <w:rStyle w:val="Hyperlink"/>
            <w:rFonts w:ascii="Times New Roman" w:hAnsi="Times New Roman"/>
            <w:b w:val="false"/>
            <w:i w:val="false"/>
            <w:color w:val="000000"/>
            <w:sz w:val="22"/>
          </w:rPr>
          <w:t>481—382.29</w:t>
        </w:r>
      </w:hyperlink>
      <w:r>
        <w:rPr>
          <w:rFonts w:ascii="Times New Roman" w:hAnsi="Times New Roman"/>
          <w:b w:val="false"/>
          <w:i w:val="false"/>
          <w:color w:val="000000"/>
          <w:sz w:val="22"/>
        </w:rPr>
        <w:t xml:space="preserve">(17A,89) and appeal pursuant to subrule </w:t>
      </w:r>
      <w:hyperlink r:id="rId23">
        <w:r>
          <w:rPr>
            <w:rStyle w:val="Hyperlink"/>
            <w:rFonts w:ascii="Times New Roman" w:hAnsi="Times New Roman"/>
            <w:b w:val="false"/>
            <w:i w:val="false"/>
            <w:color w:val="000000"/>
            <w:sz w:val="22"/>
          </w:rPr>
          <w:t>382.27(3)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481—382.19</w:t>
      </w:r>
      <w:r>
        <w:rPr>
          <w:rFonts w:ascii="Times New Roman" w:hAnsi="Times New Roman"/>
          <w:b/>
          <w:i w:val="false"/>
          <w:color w:val="000000"/>
          <w:sz w:val="22"/>
        </w:rPr>
        <w:t xml:space="preserve">(17A,89) </w:t>
      </w:r>
      <w:r>
        <w:rPr>
          <w:rFonts w:ascii="Times New Roman" w:hAnsi="Times New Roman"/>
          <w:b/>
          <w:i w:val="false"/>
          <w:color w:val="000000"/>
          <w:sz w:val="22"/>
        </w:rPr>
        <w:t xml:space="preserve">Settlements. </w:t>
      </w:r>
      <w:r>
        <w:rPr>
          <w:rFonts w:ascii="Times New Roman" w:hAnsi="Times New Roman"/>
          <w:b w:val="false"/>
          <w:i w:val="false"/>
          <w:color w:val="000000"/>
          <w:sz w:val="22"/>
        </w:rPr>
        <w:t>A contested case may be resolved by informal settlement, and settlements are encouraged. Settlement negotiations may be initiated at any stage of a contested case by any party. The board shall not be involved in negotiation until a written proposed settlement is submitted for approval, unless the parties waive this prohibition.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481—382.20</w:t>
      </w:r>
      <w:r>
        <w:rPr>
          <w:rFonts w:ascii="Times New Roman" w:hAnsi="Times New Roman"/>
          <w:b/>
          <w:i w:val="false"/>
          <w:color w:val="000000"/>
          <w:sz w:val="22"/>
        </w:rPr>
        <w:t xml:space="preserve">(17A,89)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382.20(1)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is filed not less than seven days prior to the hearing date. A prehearing conference shall be scheduled not less than three business days prior to the hearing date. Written notice of the prehearing conference is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382.20(2)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that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382.20(3)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24">
        <w:r>
          <w:rPr>
            <w:rStyle w:val="Hyperlink"/>
            <w:rFonts w:ascii="Times New Roman" w:hAnsi="Times New Roman"/>
            <w:b w:val="false"/>
            <w:i w:val="false"/>
            <w:color w:val="000000"/>
            <w:sz w:val="22"/>
          </w:rPr>
          <w:t>382.20(2)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382.20(4)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are conducted by telephone unless otherwise ordered. Parties shall exchange and receive witness and exhibit lists in advance of a telephone prehearing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481—382.21</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are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will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481—382.22</w:t>
      </w:r>
      <w:r>
        <w:rPr>
          <w:rFonts w:ascii="Times New Roman" w:hAnsi="Times New Roman"/>
          <w:b/>
          <w:i w:val="false"/>
          <w:color w:val="000000"/>
          <w:sz w:val="22"/>
        </w:rPr>
        <w:t xml:space="preserve">(17A,89)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Unless otherwise provided, a withdrawal is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481—382.23</w:t>
      </w:r>
      <w:r>
        <w:rPr>
          <w:rFonts w:ascii="Times New Roman" w:hAnsi="Times New Roman"/>
          <w:b/>
          <w:i w:val="false"/>
          <w:color w:val="000000"/>
          <w:sz w:val="22"/>
        </w:rPr>
        <w:t xml:space="preserve">(17A,89)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administer oaths,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maintains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gives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are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is sworn or affirmed by the presiding officer or the court reporter, and is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enter a default judgment against a party who fails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right to question a witness. Examination of witnesses by the presiding officer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382.23(9)</w:t>
      </w:r>
      <w:r>
        <w:rPr>
          <w:rFonts w:ascii="Times New Roman" w:hAnsi="Times New Roman"/>
          <w:b w:val="false"/>
          <w:i w:val="false"/>
          <w:color w:val="000000"/>
          <w:sz w:val="22"/>
        </w:rPr>
        <w:t> </w:t>
      </w:r>
      <w:r>
        <w:rPr>
          <w:rFonts w:ascii="Times New Roman" w:hAnsi="Times New Roman"/>
          <w:b w:val="false"/>
          <w:i w:val="false"/>
          <w:color w:val="000000"/>
          <w:sz w:val="22"/>
        </w:rPr>
        <w:t>The hearing is open to the public,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382.23(10)</w:t>
      </w:r>
      <w:r>
        <w:rPr>
          <w:rFonts w:ascii="Times New Roman" w:hAnsi="Times New Roman"/>
          <w:b w:val="false"/>
          <w:i w:val="false"/>
          <w:color w:val="000000"/>
          <w:sz w:val="22"/>
        </w:rPr>
        <w:t> </w:t>
      </w:r>
      <w:r>
        <w:rPr>
          <w:rFonts w:ascii="Times New Roman" w:hAnsi="Times New Roman"/>
          <w:b w:val="false"/>
          <w:i w:val="false"/>
          <w:color w:val="000000"/>
          <w:sz w:val="22"/>
        </w:rPr>
        <w:t>Oral proceedings will be electronically recorded. Upon request, the board shall provide a copy of the whole or any portion of the audio recording at a reasonable cost. A certified shorthand reporter may be engaged to record the proceeding at the request of a party and at the expense of the party making the request. A transcription of the record of the hearing will be made at the request of either party at the expense of the party making the request. The parties may agree to divide the cost of the transcription.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382.23(11)</w:t>
      </w:r>
      <w:r>
        <w:rPr>
          <w:rFonts w:ascii="Times New Roman" w:hAnsi="Times New Roman"/>
          <w:b w:val="false"/>
          <w:i w:val="false"/>
          <w:color w:val="000000"/>
          <w:sz w:val="22"/>
        </w:rPr>
        <w:t> </w:t>
      </w:r>
      <w:r>
        <w:rPr>
          <w:rFonts w:ascii="Times New Roman" w:hAnsi="Times New Roman"/>
          <w:b w:val="false"/>
          <w:i w:val="false"/>
          <w:color w:val="000000"/>
          <w:sz w:val="22"/>
        </w:rPr>
        <w:t>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continuance was granted and a party fails to appear or participate in a contested case proceeding after proper service of notice, the presiding officer may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board action unless, within 15 days after the date of notification or mailing of the decision, a motion to vacate is filed and served on all parties or an appeal of a decision on the merits is timely initiated within the time provided by subrule </w:t>
      </w:r>
      <w:hyperlink r:id="rId25">
        <w:r>
          <w:rPr>
            <w:rStyle w:val="Hyperlink"/>
            <w:rFonts w:ascii="Times New Roman" w:hAnsi="Times New Roman"/>
            <w:b w:val="false"/>
            <w:i w:val="false"/>
            <w:color w:val="000000"/>
            <w:sz w:val="22"/>
          </w:rPr>
          <w:t>382.27(3)</w:t>
        </w:r>
      </w:hyperlink>
      <w:r>
        <w:rPr>
          <w:rFonts w:ascii="Times New Roman" w:hAnsi="Times New Roman"/>
          <w:b w:val="false"/>
          <w:i w:val="false"/>
          <w:color w:val="000000"/>
          <w:sz w:val="22"/>
        </w:rPr>
        <w:t>. A motion to vacate must state all facts relied upon by the moving party that establish that good cause existed for that party’s failure to appear or participate at the contested case proceeding. Each fact so stated must be substantiated by at least one attached, sworn affidavit of a person with personal knowledge of the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will be granted only for good cause shown. The burden of proof as to good cause is on the moving party. Adverse parties will have ten days to respond to a motion to vacate. Adverse parties will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has the same meaning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decision denying a motion to vacate is subject to further appeal within the time limit allowed for further appeal of a decision on the merits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481—382.24</w:t>
      </w:r>
      <w:r>
        <w:rPr>
          <w:rFonts w:ascii="Times New Roman" w:hAnsi="Times New Roman"/>
          <w:b/>
          <w:i w:val="false"/>
          <w:color w:val="000000"/>
          <w:sz w:val="22"/>
        </w:rPr>
        <w:t xml:space="preserve">(17A,89)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contested issues as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 All exhibits admitted into evidence will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will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382.24(6)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will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481—382.25</w:t>
      </w:r>
      <w:r>
        <w:rPr>
          <w:rFonts w:ascii="Times New Roman" w:hAnsi="Times New Roman"/>
          <w:b/>
          <w:i w:val="false"/>
          <w:color w:val="000000"/>
          <w:sz w:val="22"/>
        </w:rPr>
        <w:t xml:space="preserve">(17A,89)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382.25(1)</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rule is intended to preclude board members from communicating with other board members or members of the board staff, other than those with a personal interest in, or those engaged in personally investigating,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382.25(4)</w:t>
      </w:r>
      <w:r>
        <w:rPr>
          <w:rFonts w:ascii="Times New Roman" w:hAnsi="Times New Roman"/>
          <w:b w:val="false"/>
          <w:i w:val="false"/>
          <w:color w:val="000000"/>
          <w:sz w:val="22"/>
        </w:rPr>
        <w:t>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382.25(6)</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the following shall be submitted for inclusion in the record under each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any prohibited written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written responses to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summary stating the substance of any prohibited oral or other communication not available in written form and all responses made,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from whom the presiding officer received a prohibited ex parte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382.25(7)</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26">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382.25(8)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Violation of ex parte communication prohibitions by staff will be reported to the board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481—382.26</w:t>
      </w:r>
      <w:r>
        <w:rPr>
          <w:rFonts w:ascii="Times New Roman" w:hAnsi="Times New Roman"/>
          <w:b/>
          <w:i w:val="false"/>
          <w:color w:val="000000"/>
          <w:sz w:val="22"/>
        </w:rPr>
        <w:t xml:space="preserve">(17A,89)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administrative law judge, such as a ruling on a motion to quash a subpoena or other prehearing motion. In determining whether to do so, the board shall weigh the extent to which its granting the interlocutory appeal would expedite final resolution of the case and the extent to which review of the interlocutory order at the time of the issuance of a final decision would provide an adequate remedy. Any request for interlocutory review must be filed within 14 days of issuance of the challenged order, but no later than the date for compliance with the order or the date of hearing, whichever is earlier.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481—382.27</w:t>
      </w:r>
      <w:r>
        <w:rPr>
          <w:rFonts w:ascii="Times New Roman" w:hAnsi="Times New Roman"/>
          <w:b/>
          <w:i w:val="false"/>
          <w:color w:val="000000"/>
          <w:sz w:val="22"/>
        </w:rPr>
        <w:t xml:space="preserve">(17A,89)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382.27(1)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382.27(2)</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382.27(3)</w:t>
      </w:r>
      <w:r>
        <w:rPr>
          <w:rFonts w:ascii="Times New Roman" w:hAnsi="Times New Roman"/>
          <w:b w:val="false"/>
          <w:i w:val="false"/>
          <w:color w:val="000000"/>
          <w:sz w:val="22"/>
        </w:rPr>
        <w:t> </w:t>
      </w:r>
      <w:r>
        <w:rPr>
          <w:rFonts w:ascii="Times New Roman" w:hAnsi="Times New Roman"/>
          <w:b w:val="false"/>
          <w:i/>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board within 30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board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board.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board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board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shall cite any applicable legal authority and specify relevant portions of the record in that proceeding. Written requests to present oral argument shall be filed with the briefs.</w:t>
      </w:r>
    </w:p>
    <w:p>
      <w:pPr>
        <w:spacing w:before="0" w:after="0"/>
        <w:ind w:left="120"/>
        <w:jc w:val="both"/>
      </w:pPr>
      <w:r>
        <w:rPr>
          <w:rFonts w:ascii="Times New Roman" w:hAnsi="Times New Roman"/>
          <w:b w:val="false"/>
          <w:i w:val="false"/>
          <w:color w:val="000000"/>
          <w:sz w:val="22"/>
        </w:rPr>
        <w:t>The board may resolve the appeal on the briefs or provide an opportunity for oral argument. The board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The record on appeal or review will be the entire record made before the hearing panel or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481—382.28</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481—382.29</w:t>
      </w:r>
      <w:r>
        <w:rPr>
          <w:rFonts w:ascii="Times New Roman" w:hAnsi="Times New Roman"/>
          <w:b/>
          <w:i w:val="false"/>
          <w:color w:val="000000"/>
          <w:sz w:val="22"/>
        </w:rPr>
        <w:t xml:space="preserve">(17A,89)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382.29(1)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382.29(2)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shall state on whose behalf it is filed,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382.29(3)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382.29(4)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382.29(5)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The board may meet telephonically to consider an application for rehearing. Any application for a rehearing is denied unless the board grants the application within 20 days after its filing.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481—382.30</w:t>
      </w:r>
      <w:r>
        <w:rPr>
          <w:rFonts w:ascii="Times New Roman" w:hAnsi="Times New Roman"/>
          <w:b/>
          <w:i w:val="false"/>
          <w:color w:val="000000"/>
          <w:sz w:val="22"/>
        </w:rPr>
        <w:t xml:space="preserve">(17A,89)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27">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481—382.31</w:t>
      </w:r>
      <w:r>
        <w:rPr>
          <w:rFonts w:ascii="Times New Roman" w:hAnsi="Times New Roman"/>
          <w:b/>
          <w:i w:val="false"/>
          <w:color w:val="000000"/>
          <w:sz w:val="22"/>
        </w:rPr>
        <w:t xml:space="preserve">(17A,89)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board’s decision may be sought in accordance with the terms of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382.31(1)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Iowa Code section </w:t>
      </w:r>
      <w:hyperlink r:id="rId29">
        <w:r>
          <w:rPr>
            <w:rStyle w:val="Hyperlink"/>
            <w:rFonts w:ascii="Times New Roman" w:hAnsi="Times New Roman"/>
            <w:b w:val="false"/>
            <w:i w:val="false"/>
            <w:color w:val="000000"/>
            <w:sz w:val="22"/>
          </w:rPr>
          <w:t>17A.19(3)</w:t>
        </w:r>
      </w:hyperlink>
      <w:r>
        <w:rPr>
          <w:rFonts w:ascii="Times New Roman" w:hAnsi="Times New Roman"/>
          <w:b w:val="false"/>
          <w:i w:val="false"/>
          <w:color w:val="000000"/>
          <w:sz w:val="22"/>
        </w:rPr>
        <w:t>, if a party does not file a timely application for rehearing, a judicial review petition must be filed with the district court within 30 days after the issuance of the board’s final decision. The board’s final decision is deemed issued on the date it is mailed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382.31(2)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does file a timely application for rehearing, a judicial review petition must be filed with the district court within 30 days after the application for rehearing is denied or deemed denied. An application for rehearing is denied or deemed denied as provided in subrule </w:t>
      </w:r>
      <w:hyperlink r:id="rId30">
        <w:r>
          <w:rPr>
            <w:rStyle w:val="Hyperlink"/>
            <w:rFonts w:ascii="Times New Roman" w:hAnsi="Times New Roman"/>
            <w:b w:val="false"/>
            <w:i w:val="false"/>
            <w:color w:val="000000"/>
            <w:sz w:val="22"/>
          </w:rPr>
          <w:t>382.29(5)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9082B</w:t>
      </w:r>
      <w:r>
        <w:rPr>
          <w:rFonts w:ascii="Times New Roman" w:hAnsi="Times New Roman"/>
          <w:b w:val="false"/>
          <w:i w:val="false"/>
          <w:color w:val="000000"/>
          <w:sz w:val="21"/>
        </w:rPr>
        <w:t xml:space="preserve"> (Notice ARC 8694B, IAB 4/21/10)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3635C</w:t>
      </w:r>
      <w:r>
        <w:rPr>
          <w:rFonts w:ascii="Times New Roman" w:hAnsi="Times New Roman"/>
          <w:b w:val="false"/>
          <w:i w:val="false"/>
          <w:color w:val="000000"/>
          <w:sz w:val="21"/>
        </w:rPr>
        <w:t xml:space="preserve"> (Notice ARC 3504C,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3903C</w:t>
      </w:r>
      <w:r>
        <w:rPr>
          <w:rFonts w:ascii="Times New Roman" w:hAnsi="Times New Roman"/>
          <w:b w:val="false"/>
          <w:i w:val="false"/>
          <w:color w:val="000000"/>
          <w:sz w:val="21"/>
        </w:rPr>
        <w:t xml:space="preserve"> (Notice ARC 3807C, IAB 5/23/18)</w:t>
      </w:r>
      <w:r>
        <w:rPr>
          <w:rFonts w:ascii="Times New Roman" w:hAnsi="Times New Roman"/>
          <w:b w:val="false"/>
          <w:i w:val="false"/>
          <w:color w:val="000000"/>
          <w:sz w:val="21"/>
        </w:rPr>
        <w:t>, IAB 7/18/18, effective 9/1/18]</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8886C</w:t>
      </w:r>
      <w:r>
        <w:rPr>
          <w:rFonts w:ascii="Times New Roman" w:hAnsi="Times New Roman"/>
          <w:b w:val="false"/>
          <w:i w:val="false"/>
          <w:color w:val="000000"/>
          <w:sz w:val="21"/>
        </w:rPr>
        <w:t xml:space="preserve"> (Notice ARC 8382C,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14.pdf" Type="http://schemas.openxmlformats.org/officeDocument/2006/relationships/hyperlink" Id="rId5"/>
    <Relationship TargetMode="External" Target="https://www.legis.iowa.gov/docs/iac/chapter/481.38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ac/rule/481.382.4.pdf" Type="http://schemas.openxmlformats.org/officeDocument/2006/relationships/hyperlink" Id="rId8"/>
    <Relationship TargetMode="External" Target="https://www.legis.iowa.gov/docs/iac/rule/481.382.31.pdf" Type="http://schemas.openxmlformats.org/officeDocument/2006/relationships/hyperlink" Id="rId9"/>
    <Relationship TargetMode="External" Target="https://www.legis.iowa.gov/docs/iac/rule/481.382.26.pdf" Type="http://schemas.openxmlformats.org/officeDocument/2006/relationships/hyperlink" Id="rId10"/>
    <Relationship TargetMode="External" Target="https://www.legis.iowa.gov/docs/iac/rule/481.382.27.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17A.17.pdf" Type="http://schemas.openxmlformats.org/officeDocument/2006/relationships/hyperlink" Id="rId14"/>
    <Relationship TargetMode="External" Target="https://www.legis.iowa.gov/docs/iac/rule/481.382.25.pdf" Type="http://schemas.openxmlformats.org/officeDocument/2006/relationships/hyperlink" Id="rId15"/>
    <Relationship TargetMode="External" Target="https://www.legis.iowa.gov/docs/iac/rule/481.382.14.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ac/rule/481.382.26.pdf" Type="http://schemas.openxmlformats.org/officeDocument/2006/relationships/hyperlink" Id="rId18"/>
    <Relationship TargetMode="External" Target="https://www.legis.iowa.gov/docs/iac/rule/481.382.30.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13.pdf" Type="http://schemas.openxmlformats.org/officeDocument/2006/relationships/hyperlink" Id="rId21"/>
    <Relationship TargetMode="External" Target="https://www.legis.iowa.gov/docs/iac/rule/481.382.29.pdf" Type="http://schemas.openxmlformats.org/officeDocument/2006/relationships/hyperlink" Id="rId22"/>
    <Relationship TargetMode="External" Target="https://www.legis.iowa.gov/docs/iac/rule/481.382.27.pdf" Type="http://schemas.openxmlformats.org/officeDocument/2006/relationships/hyperlink" Id="rId23"/>
    <Relationship TargetMode="External" Target="https://www.legis.iowa.gov/docs/iac/rule/481.382.20.pdf" Type="http://schemas.openxmlformats.org/officeDocument/2006/relationships/hyperlink" Id="rId24"/>
    <Relationship TargetMode="External" Target="https://www.legis.iowa.gov/docs/iac/rule/481.382.27.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17A.19.pdf" Type="http://schemas.openxmlformats.org/officeDocument/2006/relationships/hyperlink" Id="rId29"/>
    <Relationship TargetMode="External" Target="https://www.legis.iowa.gov/docs/iac/rule/481.382.29.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89.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