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381</w:t>
      </w:r>
    </w:p>
    <w:p>
      <w:pPr>
        <w:spacing w:before="0" w:after="0"/>
        <w:ind w:left="120"/>
        <w:jc w:val="center"/>
      </w:pPr>
      <w:r>
        <w:rPr>
          <w:rFonts w:ascii="Times New Roman" w:hAnsi="Times New Roman"/>
          <w:b w:val="false"/>
          <w:i w:val="false"/>
          <w:color w:val="000000"/>
          <w:sz w:val="21"/>
        </w:rPr>
        <w:t>BOILER AND PRESSURE VESSEL BOARD WAIVERS</w:t>
      </w:r>
    </w:p>
    <w:p>
      <w:pPr>
        <w:spacing w:before="0" w:after="0"/>
        <w:ind w:left="120"/>
        <w:jc w:val="center"/>
      </w:pPr>
      <w:r>
        <w:rPr>
          <w:rFonts w:ascii="Times New Roman" w:hAnsi="Times New Roman"/>
          <w:b w:val="false"/>
          <w:i w:val="false"/>
          <w:color w:val="000000"/>
          <w:sz w:val="14"/>
        </w:rPr>
        <w:t>[Prior to 7/9/25, see Labor Services Division[875] Ch 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481—381.1</w:t>
      </w:r>
      <w:r>
        <w:rPr>
          <w:rFonts w:ascii="Times New Roman" w:hAnsi="Times New Roman"/>
          <w:b/>
          <w:i w:val="false"/>
          <w:color w:val="000000"/>
          <w:sz w:val="22"/>
        </w:rPr>
        <w:t xml:space="preserve">(17A,89)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In response to a petition completed pursuant to this chapter, the board may, in its sole discretion, issue an order waiving, in whole or in part, the requirements of a rule as applied to an identified person on the basis of the particular circumstances of that person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481—381.2</w:t>
      </w:r>
      <w:r>
        <w:rPr>
          <w:rFonts w:ascii="Times New Roman" w:hAnsi="Times New Roman"/>
          <w:b/>
          <w:i w:val="false"/>
          <w:color w:val="000000"/>
          <w:sz w:val="22"/>
        </w:rPr>
        <w:t xml:space="preserve">(17A,89)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with a caption containing the name of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381.2(3)</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and related materials for consideration should be sent to the Boiler and Pressure Vessel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481—381.3</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The required form for a petition for waiver is available on the department’s website. A petition for waiver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381.3(2)</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referencing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rule </w:t>
      </w:r>
      <w:hyperlink r:id="rId5">
        <w:r>
          <w:rPr>
            <w:rStyle w:val="Hyperlink"/>
            <w:rFonts w:ascii="Times New Roman" w:hAnsi="Times New Roman"/>
            <w:b w:val="false"/>
            <w:i w:val="false"/>
            <w:color w:val="000000"/>
            <w:sz w:val="22"/>
          </w:rPr>
          <w:t>481—381.1</w:t>
        </w:r>
      </w:hyperlink>
      <w:r>
        <w:rPr>
          <w:rFonts w:ascii="Times New Roman" w:hAnsi="Times New Roman"/>
          <w:b w:val="false"/>
          <w:i w:val="false"/>
          <w:color w:val="000000"/>
          <w:sz w:val="22"/>
        </w:rPr>
        <w:t>(17A,89).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other departments or agencies of the state of Iowa, or political subdivisions and the petitioner relating to the boiler or pressure vessel affected by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381.3(8)</w:t>
      </w:r>
      <w:r>
        <w:rPr>
          <w:rFonts w:ascii="Times New Roman" w:hAnsi="Times New Roman"/>
          <w:b w:val="false"/>
          <w:i w:val="false"/>
          <w:color w:val="000000"/>
          <w:sz w:val="22"/>
        </w:rPr>
        <w:t> </w:t>
      </w:r>
      <w:r>
        <w:rPr>
          <w:rFonts w:ascii="Times New Roman" w:hAnsi="Times New Roman"/>
          <w:b w:val="false"/>
          <w:i w:val="false"/>
          <w:color w:val="000000"/>
          <w:sz w:val="22"/>
        </w:rPr>
        <w:t>The state boiler identification number of the relevant object.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481—381.4</w:t>
      </w:r>
      <w:r>
        <w:rPr>
          <w:rFonts w:ascii="Times New Roman" w:hAnsi="Times New Roman"/>
          <w:b/>
          <w:i w:val="false"/>
          <w:color w:val="000000"/>
          <w:sz w:val="22"/>
        </w:rPr>
        <w:t xml:space="preserve">(17A,89)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will acknowledge a petition within 10 days of its receipt in the board office and ensure that notice of the pending petition has been provided to all persons to whom notice is required by any provision of law within 30 days of the receipt of the petition. In addition, the board may give notice to other persons. To accomplish this notice provision, the board may require the petitioner to serve the notice on all persons to whom notice is required by any provision of law and to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481—381.5</w:t>
      </w:r>
      <w:r>
        <w:rPr>
          <w:rFonts w:ascii="Times New Roman" w:hAnsi="Times New Roman"/>
          <w:b/>
          <w:i w:val="false"/>
          <w:color w:val="000000"/>
          <w:sz w:val="22"/>
        </w:rPr>
        <w:t xml:space="preserve">(17A,89)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381.5(1)</w:t>
      </w:r>
      <w:r>
        <w:rPr>
          <w:rFonts w:ascii="Times New Roman" w:hAnsi="Times New Roman"/>
          <w:b w:val="false"/>
          <w:i w:val="false"/>
          <w:color w:val="000000"/>
          <w:sz w:val="22"/>
        </w:rPr>
        <w:t> </w:t>
      </w:r>
      <w:r>
        <w:rPr>
          <w:rFonts w:ascii="Times New Roman" w:hAnsi="Times New Roman"/>
          <w:b w:val="false"/>
          <w:i w:val="false"/>
          <w:color w:val="000000"/>
          <w:sz w:val="22"/>
        </w:rPr>
        <w:t>Unless the board makes other arrangements, petitions for waiver will be reviewed and may be granted or denied at the next scheduled board meeting following receipt of the petition. However, if the petition is received less than three weeks prior to the scheduled board meeting, the petition will be reviewed at the following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381.5(2)</w:t>
      </w:r>
      <w:r>
        <w:rPr>
          <w:rFonts w:ascii="Times New Roman" w:hAnsi="Times New Roman"/>
          <w:b w:val="false"/>
          <w:i w:val="false"/>
          <w:color w:val="000000"/>
          <w:sz w:val="22"/>
        </w:rPr>
        <w:t> </w:t>
      </w:r>
      <w:r>
        <w:rPr>
          <w:rFonts w:ascii="Times New Roman" w:hAnsi="Times New Roman"/>
          <w:b w:val="false"/>
          <w:i w:val="false"/>
          <w:color w:val="000000"/>
          <w:sz w:val="22"/>
        </w:rPr>
        <w:t>The petitioner will be provided a reasonable opportunity to make a presentation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481—381.6</w:t>
      </w:r>
      <w:r>
        <w:rPr>
          <w:rFonts w:ascii="Times New Roman" w:hAnsi="Times New Roman"/>
          <w:b/>
          <w:i w:val="false"/>
          <w:color w:val="000000"/>
          <w:sz w:val="22"/>
        </w:rPr>
        <w:t xml:space="preserve">(17A,89)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regarding contested case hearings apply to any petition for a waiver filed within a contested case but otherwise apply to board proceedings for a waiver only when the board so provides by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481—381.7</w:t>
      </w:r>
      <w:r>
        <w:rPr>
          <w:rFonts w:ascii="Times New Roman" w:hAnsi="Times New Roman"/>
          <w:b/>
          <w:i w:val="false"/>
          <w:color w:val="000000"/>
          <w:sz w:val="22"/>
        </w:rPr>
        <w:t xml:space="preserve">(17A,89)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will be in writing and contain a reference to the particular person or legal entity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381.7(1)</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381.7(2)</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will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on a waiver any condition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381.7(5)</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will not be permanent unless the petitioner can show that a temporary waiver would be impracticable.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will grant or deny a petition for a waiver as soon as practical but, in any event,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will be deemed a denial of that petition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14 days of the ruling, any order issued under this rule will be transmitted or delivered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381.7(9)</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room where the object is installed.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481—381.8</w:t>
      </w:r>
      <w:r>
        <w:rPr>
          <w:rFonts w:ascii="Times New Roman" w:hAnsi="Times New Roman"/>
          <w:b/>
          <w:i w:val="false"/>
          <w:color w:val="000000"/>
          <w:sz w:val="22"/>
        </w:rPr>
        <w:t xml:space="preserve">(17A,89)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will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481—381.9</w:t>
      </w:r>
      <w:r>
        <w:rPr>
          <w:rFonts w:ascii="Times New Roman" w:hAnsi="Times New Roman"/>
          <w:b/>
          <w:i w:val="false"/>
          <w:color w:val="000000"/>
          <w:sz w:val="22"/>
        </w:rPr>
        <w:t xml:space="preserve">(17A,89)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Information about all orders granting or denying a waiver petition will be submitted by the board staff to the legislative services agency through the designated Internet site within 60 days of granting or denying the petition. The information submitted is available to the public via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481—381.10</w:t>
      </w:r>
      <w:r>
        <w:rPr>
          <w:rFonts w:ascii="Times New Roman" w:hAnsi="Times New Roman"/>
          <w:b/>
          <w:i w:val="false"/>
          <w:color w:val="000000"/>
          <w:sz w:val="22"/>
        </w:rPr>
        <w:t xml:space="preserve">(17A,89)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review,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381.10(1)</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381.10(2)</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381.10(3)</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481—381.11</w:t>
      </w:r>
      <w:r>
        <w:rPr>
          <w:rFonts w:ascii="Times New Roman" w:hAnsi="Times New Roman"/>
          <w:b/>
          <w:i w:val="false"/>
          <w:color w:val="000000"/>
          <w:sz w:val="22"/>
        </w:rPr>
        <w:t xml:space="preserve">(17A,89)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is a violation of the particular rule for which the waiver was granted.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481—381.12</w:t>
      </w:r>
      <w:r>
        <w:rPr>
          <w:rFonts w:ascii="Times New Roman" w:hAnsi="Times New Roman"/>
          <w:b/>
          <w:i w:val="false"/>
          <w:color w:val="000000"/>
          <w:sz w:val="22"/>
        </w:rPr>
        <w:t xml:space="preserve">(17A,89)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2/19/08, Notice 12/19/07—published 3/12/08, effective 4/16/08]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8883C</w:t>
      </w:r>
      <w:r>
        <w:rPr>
          <w:rFonts w:ascii="Times New Roman" w:hAnsi="Times New Roman"/>
          <w:b w:val="false"/>
          <w:i w:val="false"/>
          <w:color w:val="000000"/>
          <w:sz w:val="21"/>
        </w:rPr>
        <w:t xml:space="preserve"> (Notice ARC 8365C,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81.1.pdf" Type="http://schemas.openxmlformats.org/officeDocument/2006/relationships/hyperlink" Id="rId5"/>
    <Relationship TargetMode="External" Target="https://www.legis.iowa.gov/docs/ico/chapter/17A.10.pdf" Type="http://schemas.openxmlformats.org/officeDocument/2006/relationships/hyperlink" Id="rId6"/>
    <Relationship TargetMode="External" Target="https://www.legis.iowa.gov/docs/ico/chapter/17A.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89.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