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367</w:t>
      </w:r>
    </w:p>
    <w:p>
      <w:pPr>
        <w:spacing w:before="0" w:after="0"/>
        <w:ind w:left="120"/>
        <w:jc w:val="center"/>
      </w:pPr>
      <w:r>
        <w:rPr>
          <w:rFonts w:ascii="Times New Roman" w:hAnsi="Times New Roman"/>
          <w:b w:val="false"/>
          <w:i w:val="false"/>
          <w:color w:val="000000"/>
          <w:sz w:val="21"/>
        </w:rPr>
        <w:t>CONTESTED CASES BEFORE THE ELEVATOR SAFETY BOARD</w:t>
      </w:r>
    </w:p>
    <w:p>
      <w:pPr>
        <w:spacing w:before="0" w:after="0"/>
        <w:ind w:left="120"/>
        <w:jc w:val="center"/>
      </w:pPr>
      <w:r>
        <w:rPr>
          <w:rFonts w:ascii="Times New Roman" w:hAnsi="Times New Roman"/>
          <w:b w:val="false"/>
          <w:i w:val="false"/>
          <w:color w:val="000000"/>
          <w:sz w:val="14"/>
        </w:rPr>
        <w:t>[Prior to 7/9/25, see Labor Services Division[875] Ch 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481—367.1</w:t>
      </w:r>
      <w:r>
        <w:rPr>
          <w:rFonts w:ascii="Times New Roman" w:hAnsi="Times New Roman"/>
          <w:b/>
          <w:i w:val="false"/>
          <w:color w:val="000000"/>
          <w:sz w:val="22"/>
        </w:rPr>
        <w:t xml:space="preserve">(17A,89A) </w:t>
      </w:r>
      <w:r>
        <w:rPr>
          <w:rFonts w:ascii="Times New Roman" w:hAnsi="Times New Roman"/>
          <w:b/>
          <w:i w:val="false"/>
          <w:color w:val="000000"/>
          <w:sz w:val="22"/>
        </w:rPr>
        <w:t xml:space="preserve">Reconsideration of inspection report. </w:t>
      </w:r>
      <w:r>
        <w:rPr>
          <w:rFonts w:ascii="Times New Roman" w:hAnsi="Times New Roman"/>
          <w:b w:val="false"/>
          <w:i w:val="false"/>
          <w:color w:val="000000"/>
          <w:sz w:val="22"/>
        </w:rPr>
        <w:t>The owner or operator of a piece of equipment subject to a written inspection report may petition the director for reconsideration of the report within 30 days of the issuance of the report. Failure to seek timely reconsideration of the inspection report is a waiver of all appeal rights. The burden of demonstrating compliance with all applicable statutory provisions, administrative rules, and codes adopted by reference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367.1(1)</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shall be in writing and must be signed by the requesting party or a representative of that party. The required form for a petition for reconsideration is available on the board’s website. A petition for reconsideration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367.1(2)</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The petitioning party shall also include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367.1(3)</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367.1(4)</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 consider any request for waiver of an administrative rule made as part of a petition for reconsideration. Requests for waivers of administrative rules may only be made to the board pursuant to the provisions of </w:t>
      </w:r>
      <w:hyperlink r:id="rId5">
        <w:r>
          <w:rPr>
            <w:rStyle w:val="Hyperlink"/>
            <w:rFonts w:ascii="Times New Roman" w:hAnsi="Times New Roman"/>
            <w:b w:val="false"/>
            <w:i w:val="false"/>
            <w:color w:val="000000"/>
            <w:sz w:val="22"/>
          </w:rPr>
          <w:t>481—Chapter 366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367.1(6)</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written ruling on the petition for reconsideration. 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367.1(7)</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shall be deemed denied and the challenged inspection report affirmed 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w:t>
      </w:r>
      <w:r>
        <w:rPr>
          <w:rFonts w:ascii="Times New Roman" w:hAnsi="Times New Roman"/>
          <w:b/>
          <w:i w:val="false"/>
          <w:color w:val="000000"/>
          <w:sz w:val="22"/>
        </w:rPr>
        <w:t xml:space="preserve">(17A,89A) </w:t>
      </w:r>
      <w:r>
        <w:rPr>
          <w:rFonts w:ascii="Times New Roman" w:hAnsi="Times New Roman"/>
          <w:b/>
          <w:i w:val="false"/>
          <w:color w:val="000000"/>
          <w:sz w:val="22"/>
        </w:rPr>
        <w:t xml:space="preserve">Appeal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367.2(1)</w:t>
      </w:r>
      <w:r>
        <w:rPr>
          <w:rFonts w:ascii="Times New Roman" w:hAnsi="Times New Roman"/>
          <w:b w:val="false"/>
          <w:i w:val="false"/>
          <w:color w:val="000000"/>
          <w:sz w:val="22"/>
        </w:rPr>
        <w:t> </w:t>
      </w:r>
      <w:r>
        <w:rPr>
          <w:rFonts w:ascii="Times New Roman" w:hAnsi="Times New Roman"/>
          <w:b w:val="false"/>
          <w:i w:val="false"/>
          <w:color w:val="000000"/>
          <w:sz w:val="22"/>
        </w:rPr>
        <w:t>A decision by the director to deny, suspend, or revoke an operating permit; a deemed denial of a petition for reconsideration; and the director’s ruling on a petition for reconsideration are subject to appeal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to the board is a contested case proceeding subject to the provisions of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w:t>
      </w:r>
      <w:r>
        <w:rPr>
          <w:rFonts w:ascii="Times New Roman" w:hAnsi="Times New Roman"/>
          <w:b w:val="false"/>
          <w:i w:val="false"/>
          <w:color w:val="000000"/>
          <w:sz w:val="22"/>
        </w:rPr>
        <w:t> </w:t>
      </w:r>
      <w:r>
        <w:rPr>
          <w:rFonts w:ascii="Times New Roman" w:hAnsi="Times New Roman"/>
          <w:b w:val="false"/>
          <w:i w:val="false"/>
          <w:color w:val="000000"/>
          <w:sz w:val="22"/>
        </w:rPr>
        <w:t>The director has an automatic right of intervention in any appeal and shall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367.2(4)</w:t>
      </w:r>
      <w:r>
        <w:rPr>
          <w:rFonts w:ascii="Times New Roman" w:hAnsi="Times New Roman"/>
          <w:b w:val="false"/>
          <w:i w:val="false"/>
          <w:color w:val="000000"/>
          <w:sz w:val="22"/>
        </w:rPr>
        <w:t> </w:t>
      </w:r>
      <w:r>
        <w:rPr>
          <w:rFonts w:ascii="Times New Roman" w:hAnsi="Times New Roman"/>
          <w:b w:val="false"/>
          <w:i w:val="false"/>
          <w:color w:val="000000"/>
          <w:sz w:val="22"/>
        </w:rPr>
        <w:t>Only those issues raised by the petitioner in the petition for reconsideration will be preserved for appeal to the board in an appeal from the deemed denial of a petition for reconsideration and an appeal from the director’s ruling on a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367.2(5)</w:t>
      </w:r>
      <w:r>
        <w:rPr>
          <w:rFonts w:ascii="Times New Roman" w:hAnsi="Times New Roman"/>
          <w:b w:val="false"/>
          <w:i w:val="false"/>
          <w:color w:val="000000"/>
          <w:sz w:val="22"/>
        </w:rPr>
        <w:t> </w:t>
      </w:r>
      <w:r>
        <w:rPr>
          <w:rFonts w:ascii="Times New Roman" w:hAnsi="Times New Roman"/>
          <w:b w:val="false"/>
          <w:i w:val="false"/>
          <w:color w:val="000000"/>
          <w:sz w:val="22"/>
        </w:rPr>
        <w:t>At a minimum, an appeal includes a short and concise statement of the basis for the appeal. The required form for an appeal to the board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367.2(6)</w:t>
      </w:r>
      <w:r>
        <w:rPr>
          <w:rFonts w:ascii="Times New Roman" w:hAnsi="Times New Roman"/>
          <w:b w:val="false"/>
          <w:i w:val="false"/>
          <w:color w:val="000000"/>
          <w:sz w:val="22"/>
        </w:rPr>
        <w:t> </w:t>
      </w:r>
      <w:r>
        <w:rPr>
          <w:rFonts w:ascii="Times New Roman" w:hAnsi="Times New Roman"/>
          <w:b w:val="false"/>
          <w:i w:val="false"/>
          <w:color w:val="000000"/>
          <w:sz w:val="22"/>
        </w:rPr>
        <w:t>The deadlines for filing an appeal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an inspection report. </w:t>
      </w:r>
      <w:r>
        <w:rPr>
          <w:rFonts w:ascii="Times New Roman" w:hAnsi="Times New Roman"/>
          <w:b w:val="false"/>
          <w:i w:val="false"/>
          <w:color w:val="000000"/>
          <w:sz w:val="22"/>
        </w:rPr>
        <w:t>An appeal must be filed in writing with the board within 30 calendar days of the earlier of either the issuance of the director’s written ruling on a petition for reconsideration or the deemed denial of a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intent to deny, suspend, or revoke an operating permit. </w:t>
      </w:r>
      <w:r>
        <w:rPr>
          <w:rFonts w:ascii="Times New Roman" w:hAnsi="Times New Roman"/>
          <w:b w:val="false"/>
          <w:i w:val="false"/>
          <w:color w:val="000000"/>
          <w:sz w:val="22"/>
        </w:rPr>
        <w:t>An appeal must be filed in writing with the board within 30 calendar days of the appellant’s receipt of the notification of intent to deny, suspend, or revoke an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481—367.3</w:t>
      </w:r>
      <w:r>
        <w:rPr>
          <w:rFonts w:ascii="Times New Roman" w:hAnsi="Times New Roman"/>
          <w:b/>
          <w:i w:val="false"/>
          <w:color w:val="000000"/>
          <w:sz w:val="22"/>
        </w:rPr>
        <w:t xml:space="preserve">(17A,89A) </w:t>
      </w:r>
      <w:r>
        <w:rPr>
          <w:rFonts w:ascii="Times New Roman" w:hAnsi="Times New Roman"/>
          <w:b/>
          <w:i w:val="false"/>
          <w:color w:val="000000"/>
          <w:sz w:val="22"/>
        </w:rPr>
        <w:t xml:space="preserve">Informal review. </w:t>
      </w:r>
      <w:r>
        <w:rPr>
          <w:rFonts w:ascii="Times New Roman" w:hAnsi="Times New Roman"/>
          <w:b w:val="false"/>
          <w:i w:val="false"/>
          <w:color w:val="000000"/>
          <w:sz w:val="22"/>
        </w:rPr>
        <w:t>If the appellant requests and the director does not object, the board may conduct an informal review of the facts and circumstances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367.3(1)</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preserve the ability of board members to participate in decision making, a party who elects an informal review under this rule waives the party’s right to seek disqualification of a board member as a presiding officer in a later contested case proceeding based on the board member’s participation in the informal review. A party who elects informal review retains the right to seek disqualification of board members on any other ground pursuant to subrule </w:t>
      </w:r>
      <w:hyperlink r:id="rId7">
        <w:r>
          <w:rPr>
            <w:rStyle w:val="Hyperlink"/>
            <w:rFonts w:ascii="Times New Roman" w:hAnsi="Times New Roman"/>
            <w:b w:val="false"/>
            <w:i w:val="false"/>
            <w:color w:val="000000"/>
            <w:sz w:val="22"/>
          </w:rPr>
          <w:t>367.14(4)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367.3(2)</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a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8">
        <w:r>
          <w:rPr>
            <w:rStyle w:val="Hyperlink"/>
            <w:rFonts w:ascii="Times New Roman" w:hAnsi="Times New Roman"/>
            <w:b w:val="false"/>
            <w:i w:val="false"/>
            <w:color w:val="000000"/>
            <w:sz w:val="22"/>
          </w:rPr>
          <w:t>481—367.4</w:t>
        </w:r>
      </w:hyperlink>
      <w:r>
        <w:rPr>
          <w:rFonts w:ascii="Times New Roman" w:hAnsi="Times New Roman"/>
          <w:b w:val="false"/>
          <w:i w:val="false"/>
          <w:color w:val="000000"/>
          <w:sz w:val="22"/>
        </w:rPr>
        <w:t xml:space="preserve">(17A,89A) through </w:t>
      </w:r>
      <w:hyperlink r:id="rId9">
        <w:r>
          <w:rPr>
            <w:rStyle w:val="Hyperlink"/>
            <w:rFonts w:ascii="Times New Roman" w:hAnsi="Times New Roman"/>
            <w:b w:val="false"/>
            <w:i w:val="false"/>
            <w:color w:val="000000"/>
            <w:sz w:val="22"/>
          </w:rPr>
          <w:t>481—367.31</w:t>
        </w:r>
      </w:hyperlink>
      <w:r>
        <w:rPr>
          <w:rFonts w:ascii="Times New Roman" w:hAnsi="Times New Roman"/>
          <w:b w:val="false"/>
          <w:i w:val="false"/>
          <w:color w:val="000000"/>
          <w:sz w:val="22"/>
        </w:rPr>
        <w:t>(17A,89A) do not apply during informal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481—367.4</w:t>
      </w:r>
      <w:r>
        <w:rPr>
          <w:rFonts w:ascii="Times New Roman" w:hAnsi="Times New Roman"/>
          <w:b/>
          <w:i w:val="false"/>
          <w:color w:val="000000"/>
          <w:sz w:val="22"/>
        </w:rPr>
        <w:t xml:space="preserve">(17A,89A) </w:t>
      </w:r>
      <w:r>
        <w:rPr>
          <w:rFonts w:ascii="Times New Roman" w:hAnsi="Times New Roman"/>
          <w:b/>
          <w:i w:val="false"/>
          <w:color w:val="000000"/>
          <w:sz w:val="22"/>
        </w:rPr>
        <w:t xml:space="preserve">Delivery of notice. </w:t>
      </w:r>
      <w:r>
        <w:rPr>
          <w:rFonts w:ascii="Times New Roman" w:hAnsi="Times New Roman"/>
          <w:b w:val="false"/>
          <w:i w:val="false"/>
          <w:color w:val="000000"/>
          <w:sz w:val="22"/>
        </w:rPr>
        <w:t>Delivery of the notice of hearing by the board constitutes the commencement of a contested case proceeding. Delivery may be executed by regular mail. The notice shall be delivered to the appellant; the appellant’s attorney, if known; and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481—367.5</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Contents of notice. </w:t>
      </w:r>
      <w:r>
        <w:rPr>
          <w:rFonts w:ascii="Times New Roman" w:hAnsi="Times New Roman"/>
          <w:b w:val="false"/>
          <w:i w:val="false"/>
          <w:color w:val="000000"/>
          <w:sz w:val="22"/>
        </w:rPr>
        <w:t>The notice of hearing shall contain a statement of the time, place, and nature of the hearing. The notice shall contain a short and plain statement of the matters asserted. If the board is unable to state the matters in detail at the time the notice is served, the initial notice may be limited to a statement of the issues involved. Thereafter, upon application, a more definite and detailed statement shall be furnished. The notice shall contain a statement that it is the appellant’s burden on appeal to prove compliance with all applicable statutory provisions, administrative rules, and ASME code sections. The notice shall also contain a reference to the applicable statute and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481—367.6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481—367.7</w:t>
      </w:r>
      <w:r>
        <w:rPr>
          <w:rFonts w:ascii="Times New Roman" w:hAnsi="Times New Roman"/>
          <w:b/>
          <w:i w:val="false"/>
          <w:color w:val="000000"/>
          <w:sz w:val="22"/>
        </w:rPr>
        <w:t xml:space="preserve">(17A,89A) </w:t>
      </w:r>
      <w:r>
        <w:rPr>
          <w:rFonts w:ascii="Times New Roman" w:hAnsi="Times New Roman"/>
          <w:b/>
          <w:i w:val="false"/>
          <w:color w:val="000000"/>
          <w:sz w:val="22"/>
        </w:rPr>
        <w:t xml:space="preserve">File transmitted to the board. </w:t>
      </w:r>
      <w:r>
        <w:rPr>
          <w:rFonts w:ascii="Times New Roman" w:hAnsi="Times New Roman"/>
          <w:b w:val="false"/>
          <w:i w:val="false"/>
          <w:color w:val="000000"/>
          <w:sz w:val="22"/>
        </w:rPr>
        <w:t>Within 30 days of the issuance of a notice of hearing, the director shall forward to each board member and all parties of record to the appeal copies of the applicable documents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Petition for reconsideration with the appellant’s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Documents obtained by the director in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Decision denying, suspending, or revoking an operating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Appeal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481—367.8</w:t>
      </w:r>
      <w:r>
        <w:rPr>
          <w:rFonts w:ascii="Times New Roman" w:hAnsi="Times New Roman"/>
          <w:b/>
          <w:i w:val="false"/>
          <w:color w:val="000000"/>
          <w:sz w:val="22"/>
        </w:rPr>
        <w:t xml:space="preserve">(17A,89A)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Any private party to a contested case is entitled to legal representation at the discretion and expense of that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481—367.9</w:t>
      </w:r>
      <w:r>
        <w:rPr>
          <w:rFonts w:ascii="Times New Roman" w:hAnsi="Times New Roman"/>
          <w:b/>
          <w:i w:val="false"/>
          <w:color w:val="000000"/>
          <w:sz w:val="22"/>
        </w:rPr>
        <w:t xml:space="preserve">(17A,89A)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in all contested cases is the board, a panel of board members, or an administrative law judge assigned by the department of inspections, appeals, and licensing. When board members act as presiding officer, they shall conduct the hearing and issue either a final decision or, if a quorum of the board is not present, a proposed decision. As provided in subrule </w:t>
      </w:r>
      <w:r>
        <w:rPr>
          <w:rFonts w:ascii="Times New Roman" w:hAnsi="Times New Roman"/>
          <w:b w:val="false"/>
          <w:i w:val="false"/>
          <w:color w:val="000000"/>
          <w:sz w:val="22"/>
        </w:rPr>
        <w:t>69.9(4)</w:t>
      </w:r>
      <w:r>
        <w:rPr>
          <w:rFonts w:ascii="Times New Roman" w:hAnsi="Times New Roman"/>
          <w:b w:val="false"/>
          <w:i w:val="false"/>
          <w:color w:val="000000"/>
          <w:sz w:val="22"/>
        </w:rPr>
        <w:t>,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367.9(2)</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that wishes to request that the presiding officer assigned to render a proposed decision be an administrative law judge employed by the department of inspections, appeals, and licensing must file a written request within 20 days after service of a notice of hearing that identifies the presiding officer as the board. 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nor any officer of the board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intra-agency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367.9(3)</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written ruling specifying the grounds for its decision within 20 days after a request for an administrative law judge is filed. If the ruling is granted, the administrative law judge assigned to act as presiding officer and to issue a proposed decision in a contested case shall have a Juris Doctor degree unless this requirement is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367.9(4)</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367.9(5)</w:t>
      </w:r>
      <w:r>
        <w:rPr>
          <w:rFonts w:ascii="Times New Roman" w:hAnsi="Times New Roman"/>
          <w:b w:val="false"/>
          <w:i w:val="false"/>
          <w:color w:val="000000"/>
          <w:sz w:val="22"/>
        </w:rPr>
        <w:t> </w:t>
      </w:r>
      <w:r>
        <w:rPr>
          <w:rFonts w:ascii="Times New Roman" w:hAnsi="Times New Roman"/>
          <w:b w:val="false"/>
          <w:i w:val="false"/>
          <w:color w:val="000000"/>
          <w:sz w:val="22"/>
        </w:rPr>
        <w:t xml:space="preserve">All rulings by an administrative law judge who acts either as presiding officer or assistant to the board are subject to appeal to the board pursuant to rules </w:t>
      </w:r>
      <w:hyperlink r:id="rId10">
        <w:r>
          <w:rPr>
            <w:rStyle w:val="Hyperlink"/>
            <w:rFonts w:ascii="Times New Roman" w:hAnsi="Times New Roman"/>
            <w:b w:val="false"/>
            <w:i w:val="false"/>
            <w:color w:val="000000"/>
            <w:sz w:val="22"/>
          </w:rPr>
          <w:t>481—367.26</w:t>
        </w:r>
      </w:hyperlink>
      <w:r>
        <w:rPr>
          <w:rFonts w:ascii="Times New Roman" w:hAnsi="Times New Roman"/>
          <w:b w:val="false"/>
          <w:i w:val="false"/>
          <w:color w:val="000000"/>
          <w:sz w:val="22"/>
        </w:rPr>
        <w:t xml:space="preserve">(17A,89A) and </w:t>
      </w:r>
      <w:hyperlink r:id="rId11">
        <w:r>
          <w:rPr>
            <w:rStyle w:val="Hyperlink"/>
            <w:rFonts w:ascii="Times New Roman" w:hAnsi="Times New Roman"/>
            <w:b w:val="false"/>
            <w:i w:val="false"/>
            <w:color w:val="000000"/>
            <w:sz w:val="22"/>
          </w:rPr>
          <w:t>481—367.27</w:t>
        </w:r>
      </w:hyperlink>
      <w:r>
        <w:rPr>
          <w:rFonts w:ascii="Times New Roman" w:hAnsi="Times New Roman"/>
          <w:b w:val="false"/>
          <w:i w:val="false"/>
          <w:color w:val="000000"/>
          <w:sz w:val="22"/>
        </w:rPr>
        <w:t>(17A,89A). A party must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367.9(6)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481—367.10</w:t>
      </w:r>
      <w:r>
        <w:rPr>
          <w:rFonts w:ascii="Times New Roman" w:hAnsi="Times New Roman"/>
          <w:b/>
          <w:i w:val="false"/>
          <w:color w:val="000000"/>
          <w:sz w:val="22"/>
        </w:rPr>
        <w:t xml:space="preserve">(17A,89A)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367.10(1)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Except for the original notice of hearing and an application for rehearing as provided in Iowa Code section </w:t>
      </w:r>
      <w:hyperlink r:id="rId12">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367.10(2)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is made upon the attorney unless otherwise ordered. Service is made by personal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367.10(3)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documents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367.10(4)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367.10(5)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mail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Elevator Safety Board, Department of Inspections, Appeals, and Licensing, 6200 Park Avenue, Suite 100, Des Moines, Iowa 50321 and to the names and addresses of the parties listed below by depositing the same in a United States post office mailbox with correct postage properly affixed.</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481—367.11</w:t>
      </w:r>
      <w:r>
        <w:rPr>
          <w:rFonts w:ascii="Times New Roman" w:hAnsi="Times New Roman"/>
          <w:b/>
          <w:i w:val="false"/>
          <w:color w:val="000000"/>
          <w:sz w:val="22"/>
        </w:rPr>
        <w:t xml:space="preserve">(17A,89A)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367.11(1)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Iowa Code section </w:t>
      </w:r>
      <w:hyperlink r:id="rId13">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367.11(2)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481—367.12</w:t>
      </w:r>
      <w:r>
        <w:rPr>
          <w:rFonts w:ascii="Times New Roman" w:hAnsi="Times New Roman"/>
          <w:b/>
          <w:i w:val="false"/>
          <w:color w:val="000000"/>
          <w:sz w:val="22"/>
        </w:rPr>
        <w:t xml:space="preserve">(17A,89A)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the board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481—367.13</w:t>
      </w:r>
      <w:r>
        <w:rPr>
          <w:rFonts w:ascii="Times New Roman" w:hAnsi="Times New Roman"/>
          <w:b/>
          <w:i w:val="false"/>
          <w:color w:val="000000"/>
          <w:sz w:val="22"/>
        </w:rPr>
        <w:t xml:space="preserve">(17A,89A)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Parties shall disclose at or before the prehearing conference if any witness will be testifying by telephone. Objections, if any, are filed with the board and served on all parties at least three business days in advance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481—367.14</w:t>
      </w:r>
      <w:r>
        <w:rPr>
          <w:rFonts w:ascii="Times New Roman" w:hAnsi="Times New Roman"/>
          <w:b/>
          <w:i w:val="false"/>
          <w:color w:val="000000"/>
          <w:sz w:val="22"/>
        </w:rPr>
        <w:t xml:space="preserve">(17A,89A)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367.14(1)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that culminates in a contested case. Factual information relevant to the merits of a contested case received by a person who later serves as presiding officer in that case shall be disclosed if required by Iowa Code section </w:t>
      </w:r>
      <w:hyperlink r:id="rId14">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hyperlink r:id="rId15">
        <w:r>
          <w:rPr>
            <w:rStyle w:val="Hyperlink"/>
            <w:rFonts w:ascii="Times New Roman" w:hAnsi="Times New Roman"/>
            <w:b w:val="false"/>
            <w:i w:val="false"/>
            <w:color w:val="000000"/>
            <w:sz w:val="22"/>
          </w:rPr>
          <w:t>367.25(7)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367.14(3)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6">
        <w:r>
          <w:rPr>
            <w:rStyle w:val="Hyperlink"/>
            <w:rFonts w:ascii="Times New Roman" w:hAnsi="Times New Roman"/>
            <w:b w:val="false"/>
            <w:i w:val="false"/>
            <w:color w:val="000000"/>
            <w:sz w:val="22"/>
          </w:rPr>
          <w:t>367.14(1)</w:t>
        </w:r>
      </w:hyperlink>
      <w:r>
        <w:rPr>
          <w:rFonts w:ascii="Times New Roman" w:hAnsi="Times New Roman"/>
          <w:b w:val="false"/>
          <w:i w:val="false"/>
          <w:color w:val="000000"/>
          <w:sz w:val="22"/>
        </w:rPr>
        <w:t xml:space="preserve">, the party shall file a motion supported by an affidavit pursuant to Iowa Code section </w:t>
      </w:r>
      <w:hyperlink r:id="rId17">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367.14(5)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8">
        <w:r>
          <w:rPr>
            <w:rStyle w:val="Hyperlink"/>
            <w:rFonts w:ascii="Times New Roman" w:hAnsi="Times New Roman"/>
            <w:b w:val="false"/>
            <w:i w:val="false"/>
            <w:color w:val="000000"/>
            <w:sz w:val="22"/>
          </w:rPr>
          <w:t>481—367.26</w:t>
        </w:r>
      </w:hyperlink>
      <w:r>
        <w:rPr>
          <w:rFonts w:ascii="Times New Roman" w:hAnsi="Times New Roman"/>
          <w:b w:val="false"/>
          <w:i w:val="false"/>
          <w:color w:val="000000"/>
          <w:sz w:val="22"/>
        </w:rPr>
        <w:t xml:space="preserve">(17A,89A) and seek a stay under rule </w:t>
      </w:r>
      <w:hyperlink r:id="rId19">
        <w:r>
          <w:rPr>
            <w:rStyle w:val="Hyperlink"/>
            <w:rFonts w:ascii="Times New Roman" w:hAnsi="Times New Roman"/>
            <w:b w:val="false"/>
            <w:i w:val="false"/>
            <w:color w:val="000000"/>
            <w:sz w:val="22"/>
          </w:rPr>
          <w:t>481—367.30</w:t>
        </w:r>
      </w:hyperlink>
      <w:r>
        <w:rPr>
          <w:rFonts w:ascii="Times New Roman" w:hAnsi="Times New Roman"/>
          <w:b w:val="false"/>
          <w:i w:val="false"/>
          <w:color w:val="000000"/>
          <w:sz w:val="22"/>
        </w:rPr>
        <w:t>(17A,89A).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481—367.15</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367.15(1)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party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367.15(2)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481—367.16</w:t>
      </w:r>
      <w:r>
        <w:rPr>
          <w:rFonts w:ascii="Times New Roman" w:hAnsi="Times New Roman"/>
          <w:b/>
          <w:i w:val="false"/>
          <w:color w:val="000000"/>
          <w:sz w:val="22"/>
        </w:rPr>
        <w:t xml:space="preserve">(17A,89A)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discovery procedures applicable in civil actions are applicable in contested cases. Unless lengthened or shortened by these rules or by order of the presiding officer, time periods for compliance with discovery are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367.16(2)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with the opposing party the discovery issues involved. Motions in regard to discovery are ruled upon by the presiding officer. Opposing parties shall be afforded the opportunity to respond within ten days of the filing of the motion unless the time is shortened by order of the presiding officer. The presiding officer may rule on the basis of the written motion and any response or may order argument on the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481—367.17</w:t>
      </w:r>
      <w:r>
        <w:rPr>
          <w:rFonts w:ascii="Times New Roman" w:hAnsi="Times New Roman"/>
          <w:b/>
          <w:i w:val="false"/>
          <w:color w:val="000000"/>
          <w:sz w:val="22"/>
        </w:rPr>
        <w:t xml:space="preserve">(17A,89A) </w:t>
      </w:r>
      <w:r>
        <w:rPr>
          <w:rFonts w:ascii="Times New Roman" w:hAnsi="Times New Roman"/>
          <w:b/>
          <w:i w:val="false"/>
          <w:color w:val="000000"/>
          <w:sz w:val="22"/>
        </w:rPr>
        <w:t xml:space="preserve">Subpoenas in a contested case. </w:t>
      </w:r>
      <w:r>
        <w:rPr>
          <w:rFonts w:ascii="Times New Roman" w:hAnsi="Times New Roman"/>
          <w:b w:val="false"/>
          <w:i w:val="false"/>
          <w:color w:val="000000"/>
          <w:sz w:val="22"/>
        </w:rPr>
        <w:t xml:space="preserve">Pursuant to Iowa Code section </w:t>
      </w:r>
      <w:hyperlink r:id="rId21">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the board or the presiding officer acting on behalf of the board has the authority to issue subpoenas to compel the attendance of witnesses at depositions or hearings and to compel the production of professional records, books, papers, correspondence and other records that are deemed necessary as evidence in connection with a contested case. A subpoena issued in a contested case under the board’s authority may seek evidence whether or not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367.17(1)</w:t>
      </w:r>
      <w:r>
        <w:rPr>
          <w:rFonts w:ascii="Times New Roman" w:hAnsi="Times New Roman"/>
          <w:b w:val="false"/>
          <w:i w:val="false"/>
          <w:color w:val="000000"/>
          <w:sz w:val="22"/>
        </w:rPr>
        <w:t> </w:t>
      </w:r>
      <w:r>
        <w:rPr>
          <w:rFonts w:ascii="Times New Roman" w:hAnsi="Times New Roman"/>
          <w:b w:val="false"/>
          <w:i w:val="false"/>
          <w:color w:val="000000"/>
          <w:sz w:val="22"/>
        </w:rPr>
        <w:t>Upon the written request of a party, the presiding officer shall issue a subpoena to compel the attendance of witnesses or to obtain evidence that is deemed necessary in connection with a contested case. A command to produce evidence may be joined with a command to appear at deposition or hearing or may be issued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367.17(2)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367.17(3)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367.17(4)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mail or otherwise provide copies of all subpoenas to the parties to the contested case.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367.17(5)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367.17(6)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367.17(7)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367.17(8)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481—367.18</w:t>
      </w:r>
      <w:r>
        <w:rPr>
          <w:rFonts w:ascii="Times New Roman" w:hAnsi="Times New Roman"/>
          <w:b/>
          <w:i w:val="false"/>
          <w:color w:val="000000"/>
          <w:sz w:val="22"/>
        </w:rPr>
        <w:t xml:space="preserve">(17A,89A)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367.18(1)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367.18(2)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367.18(3)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367.18(4)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367.18(5)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shall comply with the requirements of the Iowa Rules of Civil Procedure and are subject to disposition according to its requirements to the extent such requirements are not inconsistent with the provisions of this rule or any other provision of law governing the procedure in contested cases. Motions for summary judgment are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22">
        <w:r>
          <w:rPr>
            <w:rStyle w:val="Hyperlink"/>
            <w:rFonts w:ascii="Times New Roman" w:hAnsi="Times New Roman"/>
            <w:b w:val="false"/>
            <w:i w:val="false"/>
            <w:color w:val="000000"/>
            <w:sz w:val="22"/>
          </w:rPr>
          <w:t>481—367.29</w:t>
        </w:r>
      </w:hyperlink>
      <w:r>
        <w:rPr>
          <w:rFonts w:ascii="Times New Roman" w:hAnsi="Times New Roman"/>
          <w:b w:val="false"/>
          <w:i w:val="false"/>
          <w:color w:val="000000"/>
          <w:sz w:val="22"/>
        </w:rPr>
        <w:t xml:space="preserve">(89A) and appeal pursuant to subrule </w:t>
      </w:r>
      <w:hyperlink r:id="rId23">
        <w:r>
          <w:rPr>
            <w:rStyle w:val="Hyperlink"/>
            <w:rFonts w:ascii="Times New Roman" w:hAnsi="Times New Roman"/>
            <w:b w:val="false"/>
            <w:i w:val="false"/>
            <w:color w:val="000000"/>
            <w:sz w:val="22"/>
          </w:rPr>
          <w:t>367.27(3)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481—367.19</w:t>
      </w:r>
      <w:r>
        <w:rPr>
          <w:rFonts w:ascii="Times New Roman" w:hAnsi="Times New Roman"/>
          <w:b/>
          <w:i w:val="false"/>
          <w:color w:val="000000"/>
          <w:sz w:val="22"/>
        </w:rPr>
        <w:t xml:space="preserve">(17A,89A) </w:t>
      </w:r>
      <w:r>
        <w:rPr>
          <w:rFonts w:ascii="Times New Roman" w:hAnsi="Times New Roman"/>
          <w:b/>
          <w:i w:val="false"/>
          <w:color w:val="000000"/>
          <w:sz w:val="22"/>
        </w:rPr>
        <w:t xml:space="preserve">Settlements. </w:t>
      </w:r>
      <w:r>
        <w:rPr>
          <w:rFonts w:ascii="Times New Roman" w:hAnsi="Times New Roman"/>
          <w:b w:val="false"/>
          <w:i w:val="false"/>
          <w:color w:val="000000"/>
          <w:sz w:val="22"/>
        </w:rPr>
        <w:t>A contested case may be resolved by informal settlement, and settlements are encouraged. Settlement negotiations may be initiated at any stage of a contested case by any party. All settlements are subject to approval by a majority of the board. No settlement shall be presented to the board for approval except in final, written form executed by the parties. If the board fails to approve the settlement, the settlement will be of no force or effect to either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481—367.20</w:t>
      </w:r>
      <w:r>
        <w:rPr>
          <w:rFonts w:ascii="Times New Roman" w:hAnsi="Times New Roman"/>
          <w:b/>
          <w:i w:val="false"/>
          <w:color w:val="000000"/>
          <w:sz w:val="22"/>
        </w:rPr>
        <w:t xml:space="preserve">(17A,89A)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367.20(1)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 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367.20(2)</w:t>
      </w:r>
      <w:r>
        <w:rPr>
          <w:rFonts w:ascii="Times New Roman" w:hAnsi="Times New Roman"/>
          <w:b w:val="false"/>
          <w:i w:val="false"/>
          <w:color w:val="000000"/>
          <w:sz w:val="22"/>
        </w:rPr>
        <w:t> </w:t>
      </w:r>
      <w:r>
        <w:rPr>
          <w:rFonts w:ascii="Times New Roman" w:hAnsi="Times New Roman"/>
          <w:b w:val="false"/>
          <w:i w:val="false"/>
          <w:color w:val="000000"/>
          <w:sz w:val="22"/>
        </w:rPr>
        <w:t>Each party brings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that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367.20(3)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24">
        <w:r>
          <w:rPr>
            <w:rStyle w:val="Hyperlink"/>
            <w:rFonts w:ascii="Times New Roman" w:hAnsi="Times New Roman"/>
            <w:b w:val="false"/>
            <w:i w:val="false"/>
            <w:color w:val="000000"/>
            <w:sz w:val="22"/>
          </w:rPr>
          <w:t>367.20(2)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367.20(4)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will be conducted by telephone unless otherwise ordered. Parties shall exchange and receive witness and exhibit lists in advance of a telephone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481—367.21</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are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367.21(1)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presiding officer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367.21(2)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481—367.22</w:t>
      </w:r>
      <w:r>
        <w:rPr>
          <w:rFonts w:ascii="Times New Roman" w:hAnsi="Times New Roman"/>
          <w:b/>
          <w:i w:val="false"/>
          <w:color w:val="000000"/>
          <w:sz w:val="22"/>
        </w:rPr>
        <w:t xml:space="preserve">(17A,89A)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Unless otherwise provided, a withdrawal is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481—367.23</w:t>
      </w:r>
      <w:r>
        <w:rPr>
          <w:rFonts w:ascii="Times New Roman" w:hAnsi="Times New Roman"/>
          <w:b/>
          <w:i w:val="false"/>
          <w:color w:val="000000"/>
          <w:sz w:val="22"/>
        </w:rPr>
        <w:t xml:space="preserve">(17A,89A)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authority to administer oaths, to admit or exclude testimony or other evidence, and to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maintains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will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will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will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enter a default judgment against a party who fails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right to question a witness. Examination of witnesses by the presiding officer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367.23(9)</w:t>
      </w:r>
      <w:r>
        <w:rPr>
          <w:rFonts w:ascii="Times New Roman" w:hAnsi="Times New Roman"/>
          <w:b w:val="false"/>
          <w:i w:val="false"/>
          <w:color w:val="000000"/>
          <w:sz w:val="22"/>
        </w:rPr>
        <w:t> </w:t>
      </w:r>
      <w:r>
        <w:rPr>
          <w:rFonts w:ascii="Times New Roman" w:hAnsi="Times New Roman"/>
          <w:b w:val="false"/>
          <w:i w:val="false"/>
          <w:color w:val="000000"/>
          <w:sz w:val="22"/>
        </w:rPr>
        <w:t>The hearing will be open to the public,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367.23(10)</w:t>
      </w:r>
      <w:r>
        <w:rPr>
          <w:rFonts w:ascii="Times New Roman" w:hAnsi="Times New Roman"/>
          <w:b w:val="false"/>
          <w:i w:val="false"/>
          <w:color w:val="000000"/>
          <w:sz w:val="22"/>
        </w:rPr>
        <w:t> </w:t>
      </w:r>
      <w:r>
        <w:rPr>
          <w:rFonts w:ascii="Times New Roman" w:hAnsi="Times New Roman"/>
          <w:b w:val="false"/>
          <w:i w:val="false"/>
          <w:color w:val="000000"/>
          <w:sz w:val="22"/>
        </w:rPr>
        <w:t>Oral proceedings shall be electronically recorded. Upon request, the board shall provide a copy of the whole or any portion of the audio recording at a reasonable cost. A certified shorthand reporter may be engaged to record the proceeding at the request of a party and at the expense of the party making the request. A transcription of the record of the hearing shall be made at the request of either party at the expense of the party making the request. The parties may agree to divide the cost of the transcription. A record of the proceedings, which may be either the original recording, a copy, or a transcript, shall be retained by the board for five years after the resolution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367.23(11)</w:t>
      </w:r>
      <w:r>
        <w:rPr>
          <w:rFonts w:ascii="Times New Roman" w:hAnsi="Times New Roman"/>
          <w:b w:val="false"/>
          <w:i w:val="false"/>
          <w:color w:val="000000"/>
          <w:sz w:val="22"/>
        </w:rPr>
        <w:t> </w:t>
      </w:r>
      <w:r>
        <w:rPr>
          <w:rFonts w:ascii="Times New Roman" w:hAnsi="Times New Roman"/>
          <w:b w:val="false"/>
          <w:i w:val="false"/>
          <w:color w:val="000000"/>
          <w:sz w:val="22"/>
        </w:rPr>
        <w:t>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continuance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subrule </w:t>
      </w:r>
      <w:hyperlink r:id="rId25">
        <w:r>
          <w:rPr>
            <w:rStyle w:val="Hyperlink"/>
            <w:rFonts w:ascii="Times New Roman" w:hAnsi="Times New Roman"/>
            <w:b w:val="false"/>
            <w:i w:val="false"/>
            <w:color w:val="000000"/>
            <w:sz w:val="22"/>
          </w:rPr>
          <w:t>367.27(3)</w:t>
        </w:r>
      </w:hyperlink>
      <w:r>
        <w:rPr>
          <w:rFonts w:ascii="Times New Roman" w:hAnsi="Times New Roman"/>
          <w:b w:val="false"/>
          <w:i w:val="false"/>
          <w:color w:val="000000"/>
          <w:sz w:val="22"/>
        </w:rPr>
        <w:t>. A motion to vacate must state all facts relied upon by the moving party that establish good cause existed for that party’s failure to appear or participate at the contested case proceeding. Each fact must be substantiated by at least one attached, sworn affidavit of a person with personal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are granted only for good cause shown. The burden of proof as to good cause is on the moving party. Adverse parties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has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481—367.24</w:t>
      </w:r>
      <w:r>
        <w:rPr>
          <w:rFonts w:ascii="Times New Roman" w:hAnsi="Times New Roman"/>
          <w:b/>
          <w:i w:val="false"/>
          <w:color w:val="000000"/>
          <w:sz w:val="22"/>
        </w:rPr>
        <w:t xml:space="preserve">(17A,89A)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367.24(1)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rules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367.24(2)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367.24(3)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contested issues as identified in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367.24(4)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367.24(5)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367.24(6)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481—367.25</w:t>
      </w:r>
      <w:r>
        <w:rPr>
          <w:rFonts w:ascii="Times New Roman" w:hAnsi="Times New Roman"/>
          <w:b/>
          <w:i w:val="false"/>
          <w:color w:val="000000"/>
          <w:sz w:val="22"/>
        </w:rPr>
        <w:t xml:space="preserve">(17A,89A)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367.25(1)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rule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367.25(2)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367.25(3)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367.25(4)</w:t>
      </w:r>
      <w:r>
        <w:rPr>
          <w:rFonts w:ascii="Times New Roman" w:hAnsi="Times New Roman"/>
          <w:b w:val="false"/>
          <w:i w:val="false"/>
          <w:color w:val="000000"/>
          <w:sz w:val="22"/>
        </w:rPr>
        <w:t>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367.25(5)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367.25(6)</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the following shall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any prohibited written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written responses to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summary stating the substance of any prohibited oral or other communication not available in written form and all responses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each person from whom the presiding officer received a prohibited ex parte communication;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367.25(7)</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6">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367.25(8)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Violation of ex parte communication prohibitions by staff shall be reported to the board and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481—367.26</w:t>
      </w:r>
      <w:r>
        <w:rPr>
          <w:rFonts w:ascii="Times New Roman" w:hAnsi="Times New Roman"/>
          <w:b/>
          <w:i w:val="false"/>
          <w:color w:val="000000"/>
          <w:sz w:val="22"/>
        </w:rPr>
        <w:t xml:space="preserve">(17A,89A) </w:t>
      </w:r>
      <w:r>
        <w:rPr>
          <w:rFonts w:ascii="Times New Roman" w:hAnsi="Times New Roman"/>
          <w:b/>
          <w:i w:val="false"/>
          <w:color w:val="000000"/>
          <w:sz w:val="22"/>
        </w:rPr>
        <w:t xml:space="preserve">Interlocutory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367.26(1)</w:t>
      </w:r>
      <w:r>
        <w:rPr>
          <w:rFonts w:ascii="Times New Roman" w:hAnsi="Times New Roman"/>
          <w:b w:val="false"/>
          <w:i w:val="false"/>
          <w:color w:val="000000"/>
          <w:sz w:val="22"/>
        </w:rPr>
        <w:t> </w:t>
      </w:r>
      <w:r>
        <w:rPr>
          <w:rFonts w:ascii="Times New Roman" w:hAnsi="Times New Roman"/>
          <w:b w:val="false"/>
          <w:i w:val="false"/>
          <w:color w:val="000000"/>
          <w:sz w:val="22"/>
        </w:rPr>
        <w:t>Upon written request of a party or on its own motion, the board may review an interlocutory order of the administrative law judge. In determining whether to do so, the board shall weigh the extent to which its granting the interlocutory appeal would expedite final resolution of the case and the extent to which review of the interlocutory order at the time of the issuance of a final decision would provide an adequate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367.26(2)</w:t>
      </w:r>
      <w:r>
        <w:rPr>
          <w:rFonts w:ascii="Times New Roman" w:hAnsi="Times New Roman"/>
          <w:b w:val="false"/>
          <w:i w:val="false"/>
          <w:color w:val="000000"/>
          <w:sz w:val="22"/>
        </w:rPr>
        <w:t> </w:t>
      </w:r>
      <w:r>
        <w:rPr>
          <w:rFonts w:ascii="Times New Roman" w:hAnsi="Times New Roman"/>
          <w:b w:val="false"/>
          <w:i w:val="false"/>
          <w:color w:val="000000"/>
          <w:sz w:val="22"/>
        </w:rPr>
        <w:t>Any request for interlocutory review under this rule must be filed within 14 days of issuance of the challenged order, but no later than the date for compliance with the order or the date of hearing,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367.26(3)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apply to the ruling of an administrative law judge after hearing on a motion to quash or modify a subpoena. The procedures for challenging such a ruling are set forth in subrule </w:t>
      </w:r>
      <w:hyperlink r:id="rId27">
        <w:r>
          <w:rPr>
            <w:rStyle w:val="Hyperlink"/>
            <w:rFonts w:ascii="Times New Roman" w:hAnsi="Times New Roman"/>
            <w:b w:val="false"/>
            <w:i w:val="false"/>
            <w:color w:val="000000"/>
            <w:sz w:val="22"/>
          </w:rPr>
          <w:t>367.17(7)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481—367.27</w:t>
      </w:r>
      <w:r>
        <w:rPr>
          <w:rFonts w:ascii="Times New Roman" w:hAnsi="Times New Roman"/>
          <w:b/>
          <w:i w:val="false"/>
          <w:color w:val="000000"/>
          <w:sz w:val="22"/>
        </w:rPr>
        <w:t xml:space="preserve">(17A,89A)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367.27(1)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367.27(2)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367.27(3)</w:t>
      </w:r>
      <w:r>
        <w:rPr>
          <w:rFonts w:ascii="Times New Roman" w:hAnsi="Times New Roman"/>
          <w:b w:val="false"/>
          <w:i w:val="false"/>
          <w:color w:val="000000"/>
          <w:sz w:val="22"/>
        </w:rPr>
        <w:t> </w:t>
      </w:r>
      <w:r>
        <w:rPr>
          <w:rFonts w:ascii="Times New Roman" w:hAnsi="Times New Roman"/>
          <w:b w:val="false"/>
          <w:i/>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will be the entire record made before the hearing panel or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481—367.28</w:t>
      </w:r>
      <w:r>
        <w:rPr>
          <w:rFonts w:ascii="Times New Roman" w:hAnsi="Times New Roman"/>
          <w:b/>
          <w:i w:val="false"/>
          <w:color w:val="000000"/>
          <w:sz w:val="22"/>
        </w:rPr>
        <w:t xml:space="preserve">(17A,89A) </w:t>
      </w:r>
      <w:r>
        <w:rPr>
          <w:rFonts w:ascii="Times New Roman" w:hAnsi="Times New Roman"/>
          <w:b/>
          <w:i w:val="false"/>
          <w:color w:val="000000"/>
          <w:sz w:val="22"/>
        </w:rPr>
        <w:t xml:space="preserve">Contested cases with no factual disputes.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481—367.29</w:t>
      </w:r>
      <w:r>
        <w:rPr>
          <w:rFonts w:ascii="Times New Roman" w:hAnsi="Times New Roman"/>
          <w:b/>
          <w:i w:val="false"/>
          <w:color w:val="000000"/>
          <w:sz w:val="22"/>
        </w:rPr>
        <w:t xml:space="preserve">(17A,89A)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367.29(1)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367.29(2)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367.29(3)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367.29(4)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367.29(5)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The board may meet telephonically to consider an application for rehearing. Any application for a rehearing shall be deemed denied unless the board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481—367.30</w:t>
      </w:r>
      <w:r>
        <w:rPr>
          <w:rFonts w:ascii="Times New Roman" w:hAnsi="Times New Roman"/>
          <w:b/>
          <w:i w:val="false"/>
          <w:color w:val="000000"/>
          <w:sz w:val="22"/>
        </w:rPr>
        <w:t xml:space="preserve">(17A,89A)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shall be filed with the notice of appeal and state the reasons justifying a stay or other temporary remedy. The board may rule on the stay or authorize the administrative law judge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shall consider the factors listed in Iowa Code section </w:t>
      </w:r>
      <w:hyperlink r:id="rId28">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481—367.31</w:t>
      </w:r>
      <w:r>
        <w:rPr>
          <w:rFonts w:ascii="Times New Roman" w:hAnsi="Times New Roman"/>
          <w:b/>
          <w:i w:val="false"/>
          <w:color w:val="000000"/>
          <w:sz w:val="22"/>
        </w:rPr>
        <w:t xml:space="preserve">(17A,89A)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ARC 8621B</w:t>
      </w:r>
      <w:r>
        <w:rPr>
          <w:rFonts w:ascii="Times New Roman" w:hAnsi="Times New Roman"/>
          <w:b w:val="false"/>
          <w:i w:val="false"/>
          <w:color w:val="000000"/>
          <w:sz w:val="21"/>
        </w:rPr>
        <w:t xml:space="preserve"> (Notice ARC 8322B, IAB 12/2/09)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8772C</w:t>
      </w:r>
      <w:r>
        <w:rPr>
          <w:rFonts w:ascii="Times New Roman" w:hAnsi="Times New Roman"/>
          <w:b w:val="false"/>
          <w:i w:val="false"/>
          <w:color w:val="000000"/>
          <w:sz w:val="21"/>
        </w:rPr>
        <w:t xml:space="preserve"> (Notice ARC 8321C,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66.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rule/481.367.14.pdf" Type="http://schemas.openxmlformats.org/officeDocument/2006/relationships/hyperlink" Id="rId7"/>
    <Relationship TargetMode="External" Target="https://www.legis.iowa.gov/docs/iac/rule/481.367.4.pdf" Type="http://schemas.openxmlformats.org/officeDocument/2006/relationships/hyperlink" Id="rId8"/>
    <Relationship TargetMode="External" Target="https://www.legis.iowa.gov/docs/iac/rule/481.367.31.pdf" Type="http://schemas.openxmlformats.org/officeDocument/2006/relationships/hyperlink" Id="rId9"/>
    <Relationship TargetMode="External" Target="https://www.legis.iowa.gov/docs/iac/rule/481.367.26.pdf" Type="http://schemas.openxmlformats.org/officeDocument/2006/relationships/hyperlink" Id="rId10"/>
    <Relationship TargetMode="External" Target="https://www.legis.iowa.gov/docs/iac/rule/481.367.27.pdf" Type="http://schemas.openxmlformats.org/officeDocument/2006/relationships/hyperlink" Id="rId11"/>
    <Relationship TargetMode="External" Target="https://www.legis.iowa.gov/docs/ico/chapter/17A.16.pdf" Type="http://schemas.openxmlformats.org/officeDocument/2006/relationships/hyperlink" Id="rId12"/>
    <Relationship TargetMode="External" Target="https://www.legis.iowa.gov/docs/ico/chapter/4.1.pdf" Type="http://schemas.openxmlformats.org/officeDocument/2006/relationships/hyperlink" Id="rId13"/>
    <Relationship TargetMode="External" Target="https://www.legis.iowa.gov/docs/ico/chapter/17A.17.pdf" Type="http://schemas.openxmlformats.org/officeDocument/2006/relationships/hyperlink" Id="rId14"/>
    <Relationship TargetMode="External" Target="https://www.legis.iowa.gov/docs/iac/rule/481.367.25.pdf" Type="http://schemas.openxmlformats.org/officeDocument/2006/relationships/hyperlink" Id="rId15"/>
    <Relationship TargetMode="External" Target="https://www.legis.iowa.gov/docs/iac/rule/481.367.14.pdf" Type="http://schemas.openxmlformats.org/officeDocument/2006/relationships/hyperlink" Id="rId16"/>
    <Relationship TargetMode="External" Target="https://www.legis.iowa.gov/docs/ico/chapter/17A.17.pdf" Type="http://schemas.openxmlformats.org/officeDocument/2006/relationships/hyperlink" Id="rId17"/>
    <Relationship TargetMode="External" Target="https://www.legis.iowa.gov/docs/iac/rule/481.367.26.pdf" Type="http://schemas.openxmlformats.org/officeDocument/2006/relationships/hyperlink" Id="rId18"/>
    <Relationship TargetMode="External" Target="https://www.legis.iowa.gov/docs/iac/rule/481.367.30.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7A.13.pdf" Type="http://schemas.openxmlformats.org/officeDocument/2006/relationships/hyperlink" Id="rId21"/>
    <Relationship TargetMode="External" Target="https://www.legis.iowa.gov/docs/iac/rule/481.367.29.pdf" Type="http://schemas.openxmlformats.org/officeDocument/2006/relationships/hyperlink" Id="rId22"/>
    <Relationship TargetMode="External" Target="https://www.legis.iowa.gov/docs/iac/rule/481.367.27.pdf" Type="http://schemas.openxmlformats.org/officeDocument/2006/relationships/hyperlink" Id="rId23"/>
    <Relationship TargetMode="External" Target="https://www.legis.iowa.gov/docs/iac/rule/481.367.20.pdf" Type="http://schemas.openxmlformats.org/officeDocument/2006/relationships/hyperlink" Id="rId24"/>
    <Relationship TargetMode="External" Target="https://www.legis.iowa.gov/docs/iac/rule/481.367.27.pdf" Type="http://schemas.openxmlformats.org/officeDocument/2006/relationships/hyperlink" Id="rId25"/>
    <Relationship TargetMode="External" Target="https://www.legis.iowa.gov/docs/ico/chapter/17A.13.pdf" Type="http://schemas.openxmlformats.org/officeDocument/2006/relationships/hyperlink" Id="rId26"/>
    <Relationship TargetMode="External" Target="https://www.legis.iowa.gov/docs/iac/rule/481.367.17.pdf" Type="http://schemas.openxmlformats.org/officeDocument/2006/relationships/hyperlink" Id="rId27"/>
    <Relationship TargetMode="External" Target="https://www.legis.iowa.gov/docs/ico/chapter/17A.19.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89A.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